
<file path=[Content_Types].xml><?xml version="1.0" encoding="utf-8"?>
<Types xmlns="http://schemas.openxmlformats.org/package/2006/content-types">
  <Default Extension="xml" ContentType="application/xml"/>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pPr>
    </w:p>
    <w:p>
      <w:pPr>
        <w:spacing w:line="360" w:lineRule="auto"/>
      </w:pPr>
      <w:r>
        <w:drawing>
          <wp:inline distT="0" distB="0" distL="0" distR="0">
            <wp:extent cx="3766185" cy="606425"/>
            <wp:effectExtent l="19050" t="0" r="5715" b="0"/>
            <wp:docPr id="3" name="图片 0" descr="方圆标志全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0" descr="方圆标志全称.jpg"/>
                    <pic:cNvPicPr>
                      <a:picLocks noChangeAspect="1" noChangeArrowheads="1"/>
                    </pic:cNvPicPr>
                  </pic:nvPicPr>
                  <pic:blipFill>
                    <a:blip r:embed="rId8" cstate="print"/>
                    <a:srcRect/>
                    <a:stretch>
                      <a:fillRect/>
                    </a:stretch>
                  </pic:blipFill>
                  <pic:spPr>
                    <a:xfrm>
                      <a:off x="0" y="0"/>
                      <a:ext cx="3766185" cy="606425"/>
                    </a:xfrm>
                    <a:prstGeom prst="rect">
                      <a:avLst/>
                    </a:prstGeom>
                    <a:noFill/>
                    <a:ln w="9525">
                      <a:noFill/>
                      <a:miter lim="800000"/>
                      <a:headEnd/>
                      <a:tailEnd/>
                    </a:ln>
                  </pic:spPr>
                </pic:pic>
              </a:graphicData>
            </a:graphic>
          </wp:inline>
        </w:drawing>
      </w:r>
    </w:p>
    <w:p>
      <w:pPr>
        <w:spacing w:line="360" w:lineRule="auto"/>
      </w:pPr>
    </w:p>
    <w:p>
      <w:pPr>
        <w:spacing w:line="360" w:lineRule="auto"/>
      </w:pPr>
    </w:p>
    <w:p>
      <w:pPr>
        <w:spacing w:line="360" w:lineRule="auto"/>
      </w:pPr>
    </w:p>
    <w:p>
      <w:pPr>
        <w:spacing w:line="360" w:lineRule="auto"/>
        <w:rPr>
          <w:rFonts w:ascii="黑体" w:hAnsi="宋体" w:eastAsia="黑体"/>
          <w:szCs w:val="21"/>
        </w:rPr>
      </w:pPr>
      <w:r>
        <w:rPr>
          <w:rFonts w:ascii="黑体" w:hAnsi="宋体" w:eastAsia="黑体"/>
          <w:szCs w:val="21"/>
        </w:rPr>
        <w:pict>
          <v:shape id="Text Box 4" o:spid="_x0000_s1026" o:spt="202" type="#_x0000_t202" style="position:absolute;left:0pt;margin-left:13.35pt;margin-top:14.7pt;height:64.3pt;width:402.75pt;z-index:251661312;mso-width-relative:page;mso-height-relative:page;" fillcolor="#C0C0C0" filled="t"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">
            <v:path/>
            <v:fill on="t" opacity="26214f" focussize="0,0"/>
            <v:stroke on="f" color="#C0C0C0" joinstyle="miter"/>
            <v:imagedata o:title=""/>
            <o:lock v:ext="edit"/>
            <v:textbox inset="0mm,4mm,0mm,2.3mm">
              <w:txbxContent>
                <w:p>
                  <w:pPr>
                    <w:pStyle w:val="15"/>
                    <w:spacing w:before="0" w:after="0"/>
                    <w:outlineLvl w:val="9"/>
                    <w:rPr>
                      <w:rFonts w:ascii="黑体" w:hAnsi="黑体" w:eastAsia="黑体"/>
                      <w:b w:val="0"/>
                      <w:sz w:val="48"/>
                      <w:szCs w:val="48"/>
                    </w:rPr>
                  </w:pPr>
                  <w:bookmarkStart w:id="130" w:name="_Toc440007486"/>
                  <w:bookmarkStart w:id="131" w:name="_Toc444776325"/>
                  <w:r>
                    <w:rPr>
                      <w:rFonts w:hint="eastAsia" w:ascii="黑体" w:hAnsi="黑体" w:eastAsia="黑体"/>
                      <w:b w:val="0"/>
                      <w:sz w:val="48"/>
                      <w:szCs w:val="48"/>
                    </w:rPr>
                    <w:t>数据安全风险管理认证实施方案</w:t>
                  </w:r>
                </w:p>
                <w:p/>
                <w:p>
                  <w:pPr>
                    <w:pStyle w:val="15"/>
                    <w:spacing w:before="0" w:after="0"/>
                    <w:outlineLvl w:val="9"/>
                    <w:rPr>
                      <w:rFonts w:ascii="黑体" w:hAnsi="黑体" w:eastAsia="黑体"/>
                      <w:b w:val="0"/>
                      <w:sz w:val="48"/>
                      <w:szCs w:val="48"/>
                    </w:rPr>
                  </w:pPr>
                  <w:r>
                    <w:rPr>
                      <w:rFonts w:hint="eastAsia" w:ascii="黑体" w:hAnsi="黑体" w:eastAsia="黑体"/>
                      <w:b w:val="0"/>
                      <w:sz w:val="48"/>
                      <w:szCs w:val="48"/>
                    </w:rPr>
                    <w:t>医疗器械质量管理体系认证实施方案</w:t>
                  </w:r>
                  <w:bookmarkEnd w:id="130"/>
                  <w:bookmarkEnd w:id="131"/>
                </w:p>
              </w:txbxContent>
            </v:textbox>
          </v:shape>
        </w:pict>
      </w:r>
    </w:p>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ascii="黑体" w:hAnsi="宋体" w:eastAsia="黑体"/>
          <w:szCs w:val="21"/>
        </w:rPr>
      </w:pPr>
    </w:p>
    <w:tbl>
      <w:tblPr>
        <w:tblStyle w:val="17"/>
        <w:tblpPr w:leftFromText="180" w:rightFromText="180" w:vertAnchor="page" w:horzAnchor="page" w:tblpX="3487" w:tblpY="7653"/>
        <w:tblW w:w="0" w:type="auto"/>
        <w:tblInd w:w="0" w:type="dxa"/>
        <w:tblLayout w:type="autofit"/>
        <w:tblCellMar>
          <w:top w:w="0" w:type="dxa"/>
          <w:left w:w="108" w:type="dxa"/>
          <w:bottom w:w="0" w:type="dxa"/>
          <w:right w:w="108" w:type="dxa"/>
        </w:tblCellMar>
      </w:tblPr>
      <w:tblGrid>
        <w:gridCol w:w="1846"/>
        <w:gridCol w:w="4249"/>
      </w:tblGrid>
      <w:tr>
        <w:tblPrEx>
          <w:tblCellMar>
            <w:top w:w="0" w:type="dxa"/>
            <w:left w:w="108" w:type="dxa"/>
            <w:bottom w:w="0" w:type="dxa"/>
            <w:right w:w="108" w:type="dxa"/>
          </w:tblCellMar>
        </w:tblPrEx>
        <w:trPr>
          <w:trHeight w:val="135" w:hRule="atLeast"/>
        </w:trPr>
        <w:tc>
          <w:tcPr>
            <w:tcW w:w="1846" w:type="dxa"/>
            <w:vAlign w:val="center"/>
          </w:tcPr>
          <w:p>
            <w:pPr>
              <w:rPr>
                <w:rFonts w:ascii="Arial" w:hAnsi="Arial" w:eastAsia="隶书" w:cs="Arial"/>
                <w:sz w:val="30"/>
              </w:rPr>
            </w:pPr>
            <w:r>
              <w:rPr>
                <w:rFonts w:ascii="Arial" w:hAnsi="Arial" w:eastAsia="隶书" w:cs="Arial"/>
                <w:sz w:val="30"/>
              </w:rPr>
              <w:t>文件编号：</w:t>
            </w:r>
          </w:p>
        </w:tc>
        <w:tc>
          <w:tcPr>
            <w:tcW w:w="4249" w:type="dxa"/>
            <w:vAlign w:val="center"/>
          </w:tcPr>
          <w:p>
            <w:pPr>
              <w:ind w:firstLine="274" w:firstLineChars="98"/>
              <w:rPr>
                <w:rFonts w:ascii="Arial Unicode MS" w:hAnsi="Arial Unicode MS" w:eastAsia="仿宋_GB2312" w:cs="Arial Unicode MS"/>
                <w:sz w:val="28"/>
                <w:szCs w:val="28"/>
              </w:rPr>
            </w:pPr>
            <w:r>
              <w:rPr>
                <w:rFonts w:eastAsia="仿宋_GB2312"/>
                <w:sz w:val="28"/>
                <w:szCs w:val="15"/>
              </w:rPr>
              <w:t>CQMS-FN-27-026</w:t>
            </w:r>
          </w:p>
        </w:tc>
      </w:tr>
      <w:tr>
        <w:tblPrEx>
          <w:tblCellMar>
            <w:top w:w="0" w:type="dxa"/>
            <w:left w:w="108" w:type="dxa"/>
            <w:bottom w:w="0" w:type="dxa"/>
            <w:right w:w="108" w:type="dxa"/>
          </w:tblCellMar>
        </w:tblPrEx>
        <w:trPr>
          <w:trHeight w:val="135" w:hRule="atLeast"/>
        </w:trPr>
        <w:tc>
          <w:tcPr>
            <w:tcW w:w="1846" w:type="dxa"/>
            <w:vAlign w:val="center"/>
          </w:tcPr>
          <w:p>
            <w:pPr>
              <w:rPr>
                <w:rFonts w:ascii="Arial" w:hAnsi="Arial" w:eastAsia="隶书" w:cs="Arial"/>
                <w:sz w:val="30"/>
              </w:rPr>
            </w:pPr>
            <w:r>
              <w:rPr>
                <w:rFonts w:ascii="Arial" w:hAnsi="Arial" w:eastAsia="隶书" w:cs="Arial"/>
                <w:sz w:val="30"/>
              </w:rPr>
              <w:t>发布日期：</w:t>
            </w:r>
          </w:p>
        </w:tc>
        <w:tc>
          <w:tcPr>
            <w:tcW w:w="4249" w:type="dxa"/>
            <w:vAlign w:val="center"/>
          </w:tcPr>
          <w:p>
            <w:pPr>
              <w:ind w:firstLine="280" w:firstLineChars="100"/>
              <w:rPr>
                <w:rFonts w:eastAsia="仿宋_GB2312"/>
                <w:sz w:val="28"/>
              </w:rPr>
            </w:pPr>
            <w:r>
              <w:rPr>
                <w:rFonts w:hint="eastAsia" w:eastAsia="仿宋_GB2312"/>
                <w:sz w:val="28"/>
                <w:szCs w:val="15"/>
              </w:rPr>
              <w:t>2021</w:t>
            </w:r>
            <w:r>
              <w:rPr>
                <w:rFonts w:eastAsia="仿宋_GB2312"/>
                <w:sz w:val="28"/>
                <w:szCs w:val="15"/>
              </w:rPr>
              <w:t>年</w:t>
            </w:r>
            <w:r>
              <w:rPr>
                <w:rFonts w:hint="eastAsia" w:eastAsia="仿宋_GB2312"/>
                <w:sz w:val="28"/>
                <w:szCs w:val="15"/>
                <w:lang w:val="en-US" w:eastAsia="zh-CN"/>
              </w:rPr>
              <w:t>10</w:t>
            </w:r>
            <w:r>
              <w:rPr>
                <w:rFonts w:eastAsia="仿宋_GB2312"/>
                <w:sz w:val="28"/>
                <w:szCs w:val="15"/>
              </w:rPr>
              <w:t>月</w:t>
            </w:r>
            <w:r>
              <w:rPr>
                <w:rFonts w:hint="eastAsia" w:eastAsia="仿宋_GB2312"/>
                <w:sz w:val="28"/>
                <w:szCs w:val="15"/>
                <w:lang w:val="en-US" w:eastAsia="zh-CN"/>
              </w:rPr>
              <w:t>27</w:t>
            </w:r>
            <w:r>
              <w:rPr>
                <w:rFonts w:eastAsia="仿宋_GB2312"/>
                <w:sz w:val="28"/>
                <w:szCs w:val="15"/>
              </w:rPr>
              <w:t>日</w:t>
            </w:r>
          </w:p>
        </w:tc>
      </w:tr>
      <w:tr>
        <w:tblPrEx>
          <w:tblCellMar>
            <w:top w:w="0" w:type="dxa"/>
            <w:left w:w="108" w:type="dxa"/>
            <w:bottom w:w="0" w:type="dxa"/>
            <w:right w:w="108" w:type="dxa"/>
          </w:tblCellMar>
        </w:tblPrEx>
        <w:trPr>
          <w:trHeight w:val="135" w:hRule="atLeast"/>
        </w:trPr>
        <w:tc>
          <w:tcPr>
            <w:tcW w:w="1846" w:type="dxa"/>
            <w:vAlign w:val="center"/>
          </w:tcPr>
          <w:p>
            <w:pPr>
              <w:rPr>
                <w:rFonts w:ascii="Arial" w:hAnsi="Arial" w:eastAsia="隶书" w:cs="Arial"/>
                <w:color w:val="000000"/>
                <w:sz w:val="30"/>
              </w:rPr>
            </w:pPr>
            <w:r>
              <w:rPr>
                <w:rFonts w:hint="eastAsia" w:ascii="Arial" w:hAnsi="Arial" w:eastAsia="隶书" w:cs="Arial"/>
                <w:color w:val="000000"/>
                <w:sz w:val="30"/>
              </w:rPr>
              <w:t>修订日期：</w:t>
            </w:r>
          </w:p>
        </w:tc>
        <w:tc>
          <w:tcPr>
            <w:tcW w:w="4249" w:type="dxa"/>
            <w:vAlign w:val="center"/>
          </w:tcPr>
          <w:p>
            <w:pPr>
              <w:ind w:firstLine="280" w:firstLineChars="100"/>
              <w:rPr>
                <w:rFonts w:eastAsia="仿宋_GB2312"/>
                <w:color w:val="000000"/>
                <w:sz w:val="28"/>
                <w:szCs w:val="15"/>
              </w:rPr>
            </w:pPr>
          </w:p>
        </w:tc>
      </w:tr>
      <w:tr>
        <w:tblPrEx>
          <w:tblCellMar>
            <w:top w:w="0" w:type="dxa"/>
            <w:left w:w="108" w:type="dxa"/>
            <w:bottom w:w="0" w:type="dxa"/>
            <w:right w:w="108" w:type="dxa"/>
          </w:tblCellMar>
        </w:tblPrEx>
        <w:trPr>
          <w:trHeight w:val="135" w:hRule="atLeast"/>
        </w:trPr>
        <w:tc>
          <w:tcPr>
            <w:tcW w:w="1846" w:type="dxa"/>
            <w:vAlign w:val="center"/>
          </w:tcPr>
          <w:p>
            <w:pPr>
              <w:rPr>
                <w:rFonts w:ascii="Arial" w:hAnsi="Arial" w:eastAsia="隶书" w:cs="Arial"/>
                <w:sz w:val="30"/>
              </w:rPr>
            </w:pPr>
            <w:r>
              <w:rPr>
                <w:rFonts w:ascii="Arial" w:hAnsi="Arial" w:eastAsia="隶书" w:cs="Arial"/>
                <w:sz w:val="30"/>
              </w:rPr>
              <w:t>实施日期：</w:t>
            </w:r>
          </w:p>
        </w:tc>
        <w:tc>
          <w:tcPr>
            <w:tcW w:w="4249" w:type="dxa"/>
            <w:vAlign w:val="center"/>
          </w:tcPr>
          <w:p>
            <w:pPr>
              <w:ind w:firstLine="280" w:firstLineChars="100"/>
              <w:rPr>
                <w:rFonts w:eastAsia="仿宋_GB2312"/>
                <w:sz w:val="28"/>
              </w:rPr>
            </w:pPr>
            <w:r>
              <w:rPr>
                <w:rFonts w:hint="eastAsia" w:eastAsia="仿宋_GB2312"/>
                <w:sz w:val="28"/>
                <w:szCs w:val="15"/>
              </w:rPr>
              <w:t>2021</w:t>
            </w:r>
            <w:r>
              <w:rPr>
                <w:rFonts w:eastAsia="仿宋_GB2312"/>
                <w:sz w:val="28"/>
                <w:szCs w:val="15"/>
              </w:rPr>
              <w:t>年</w:t>
            </w:r>
            <w:r>
              <w:rPr>
                <w:rFonts w:hint="eastAsia" w:eastAsia="仿宋_GB2312"/>
                <w:sz w:val="28"/>
                <w:szCs w:val="15"/>
                <w:lang w:val="en-US" w:eastAsia="zh-CN"/>
              </w:rPr>
              <w:t>10</w:t>
            </w:r>
            <w:r>
              <w:rPr>
                <w:rFonts w:eastAsia="仿宋_GB2312"/>
                <w:sz w:val="28"/>
                <w:szCs w:val="15"/>
              </w:rPr>
              <w:t>月</w:t>
            </w:r>
            <w:r>
              <w:rPr>
                <w:rFonts w:hint="eastAsia" w:eastAsia="仿宋_GB2312"/>
                <w:sz w:val="28"/>
                <w:szCs w:val="15"/>
                <w:lang w:val="en-US" w:eastAsia="zh-CN"/>
              </w:rPr>
              <w:t>27</w:t>
            </w:r>
            <w:r>
              <w:rPr>
                <w:rFonts w:eastAsia="仿宋_GB2312"/>
                <w:sz w:val="28"/>
                <w:szCs w:val="15"/>
              </w:rPr>
              <w:t>日</w:t>
            </w:r>
          </w:p>
        </w:tc>
      </w:tr>
    </w:tbl>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eastAsia="方正姚体"/>
          <w:sz w:val="32"/>
        </w:rPr>
      </w:pPr>
    </w:p>
    <w:p/>
    <w:p/>
    <w:p/>
    <w:p/>
    <w:p/>
    <w:p/>
    <w:p/>
    <w:p/>
    <w:p/>
    <w:p/>
    <w:p/>
    <w:p>
      <w:r>
        <w:rPr>
          <w:rFonts w:hint="eastAsia"/>
        </w:rPr>
        <w:drawing>
          <wp:anchor distT="0" distB="0" distL="114300" distR="114300" simplePos="0" relativeHeight="251660288" behindDoc="0" locked="0" layoutInCell="1" allowOverlap="1">
            <wp:simplePos x="0" y="0"/>
            <wp:positionH relativeFrom="column">
              <wp:posOffset>-1114425</wp:posOffset>
            </wp:positionH>
            <wp:positionV relativeFrom="paragraph">
              <wp:posOffset>12700</wp:posOffset>
            </wp:positionV>
            <wp:extent cx="3890010" cy="2842260"/>
            <wp:effectExtent l="19050" t="0" r="0" b="0"/>
            <wp:wrapNone/>
            <wp:docPr id="4" name="图片 0" descr="791798467DFB4DCAB07D0134B56CF2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0" descr="791798467DFB4DCAB07D0134B56CF23C.jpg"/>
                    <pic:cNvPicPr>
                      <a:picLocks noChangeAspect="1" noChangeArrowheads="1"/>
                    </pic:cNvPicPr>
                  </pic:nvPicPr>
                  <pic:blipFill>
                    <a:blip r:embed="rId9" cstate="print"/>
                    <a:srcRect/>
                    <a:stretch>
                      <a:fillRect/>
                    </a:stretch>
                  </pic:blipFill>
                  <pic:spPr>
                    <a:xfrm>
                      <a:off x="0" y="0"/>
                      <a:ext cx="3890010" cy="2842260"/>
                    </a:xfrm>
                    <a:prstGeom prst="rect">
                      <a:avLst/>
                    </a:prstGeom>
                    <a:noFill/>
                    <a:ln w="9525">
                      <a:noFill/>
                      <a:miter lim="800000"/>
                      <a:headEnd/>
                      <a:tailEnd/>
                    </a:ln>
                  </pic:spPr>
                </pic:pic>
              </a:graphicData>
            </a:graphic>
          </wp:anchor>
        </w:drawing>
      </w:r>
    </w:p>
    <w:p/>
    <w:p/>
    <w:p/>
    <w:p/>
    <w:p/>
    <w:p/>
    <w:p/>
    <w:p/>
    <w:p>
      <w:pPr>
        <w:ind w:firstLine="602" w:firstLineChars="200"/>
        <w:jc w:val="center"/>
        <w:rPr>
          <w:b/>
          <w:bCs/>
          <w:sz w:val="30"/>
        </w:rPr>
      </w:pPr>
    </w:p>
    <w:p>
      <w:pPr>
        <w:ind w:firstLine="602" w:firstLineChars="200"/>
        <w:jc w:val="center"/>
        <w:rPr>
          <w:rFonts w:hint="eastAsia"/>
          <w:b/>
          <w:bCs/>
          <w:sz w:val="30"/>
        </w:rPr>
      </w:pPr>
      <w:r>
        <w:rPr>
          <w:rFonts w:hint="eastAsia"/>
          <w:b/>
          <w:bCs/>
          <w:sz w:val="30"/>
        </w:rPr>
        <w:t>目    录</w:t>
      </w:r>
    </w:p>
    <w:p>
      <w:pPr>
        <w:ind w:firstLine="602" w:firstLineChars="200"/>
        <w:jc w:val="center"/>
        <w:rPr>
          <w:rFonts w:hint="eastAsia"/>
          <w:b/>
          <w:bCs/>
          <w:sz w:val="30"/>
        </w:rPr>
      </w:pPr>
    </w:p>
    <w:p>
      <w:pPr>
        <w:pStyle w:val="13"/>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pPr>
      <w:r>
        <w:fldChar w:fldCharType="begin"/>
      </w:r>
      <w:r>
        <w:instrText xml:space="preserve"> TOC \o "1-3" \h \z \u </w:instrText>
      </w:r>
      <w:r>
        <w:fldChar w:fldCharType="separate"/>
      </w:r>
      <w:r>
        <w:fldChar w:fldCharType="begin"/>
      </w:r>
      <w:r>
        <w:instrText xml:space="preserve"> HYPERLINK \l _Toc10629 </w:instrText>
      </w:r>
      <w:r>
        <w:fldChar w:fldCharType="separate"/>
      </w:r>
      <w:r>
        <w:t>1</w:t>
      </w:r>
      <w:r>
        <w:rPr>
          <w:rFonts w:hint="eastAsia"/>
        </w:rPr>
        <w:t xml:space="preserve"> 适用范围</w:t>
      </w:r>
      <w:r>
        <w:tab/>
      </w:r>
      <w:r>
        <w:fldChar w:fldCharType="begin"/>
      </w:r>
      <w:r>
        <w:instrText xml:space="preserve"> PAGEREF _Toc10629 \h </w:instrText>
      </w:r>
      <w:r>
        <w:fldChar w:fldCharType="separate"/>
      </w:r>
      <w:r>
        <w:t>2</w:t>
      </w:r>
      <w:r>
        <w:fldChar w:fldCharType="end"/>
      </w:r>
      <w:r>
        <w:fldChar w:fldCharType="end"/>
      </w:r>
    </w:p>
    <w:p>
      <w:pPr>
        <w:pStyle w:val="13"/>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pPr>
      <w:r>
        <w:fldChar w:fldCharType="begin"/>
      </w:r>
      <w:r>
        <w:instrText xml:space="preserve"> HYPERLINK \l _Toc17044 </w:instrText>
      </w:r>
      <w:r>
        <w:fldChar w:fldCharType="separate"/>
      </w:r>
      <w:r>
        <w:rPr>
          <w:rFonts w:hint="eastAsia"/>
        </w:rPr>
        <w:t>2 认证模式</w:t>
      </w:r>
      <w:r>
        <w:tab/>
      </w:r>
      <w:r>
        <w:fldChar w:fldCharType="begin"/>
      </w:r>
      <w:r>
        <w:instrText xml:space="preserve"> PAGEREF _Toc17044 \h </w:instrText>
      </w:r>
      <w:r>
        <w:fldChar w:fldCharType="separate"/>
      </w:r>
      <w:r>
        <w:t>2</w:t>
      </w:r>
      <w:r>
        <w:fldChar w:fldCharType="end"/>
      </w:r>
      <w:r>
        <w:fldChar w:fldCharType="end"/>
      </w:r>
    </w:p>
    <w:p>
      <w:pPr>
        <w:pStyle w:val="13"/>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pPr>
      <w:r>
        <w:fldChar w:fldCharType="begin"/>
      </w:r>
      <w:r>
        <w:instrText xml:space="preserve"> HYPERLINK \l _Toc7264 </w:instrText>
      </w:r>
      <w:r>
        <w:fldChar w:fldCharType="separate"/>
      </w:r>
      <w:r>
        <w:rPr>
          <w:rFonts w:hint="eastAsia"/>
        </w:rPr>
        <w:t>3 认证过程流程图</w:t>
      </w:r>
      <w:r>
        <w:tab/>
      </w:r>
      <w:r>
        <w:fldChar w:fldCharType="begin"/>
      </w:r>
      <w:r>
        <w:instrText xml:space="preserve"> PAGEREF _Toc7264 \h </w:instrText>
      </w:r>
      <w:r>
        <w:fldChar w:fldCharType="separate"/>
      </w:r>
      <w:r>
        <w:t>2</w:t>
      </w:r>
      <w:r>
        <w:fldChar w:fldCharType="end"/>
      </w:r>
      <w:r>
        <w:fldChar w:fldCharType="end"/>
      </w:r>
    </w:p>
    <w:p>
      <w:pPr>
        <w:pStyle w:val="13"/>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pPr>
      <w:r>
        <w:fldChar w:fldCharType="begin"/>
      </w:r>
      <w:r>
        <w:instrText xml:space="preserve"> HYPERLINK \l _Toc62 </w:instrText>
      </w:r>
      <w:r>
        <w:fldChar w:fldCharType="separate"/>
      </w:r>
      <w:r>
        <w:rPr>
          <w:rFonts w:hint="eastAsia"/>
        </w:rPr>
        <w:t>4 认证申请</w:t>
      </w:r>
      <w:r>
        <w:tab/>
      </w:r>
      <w:r>
        <w:fldChar w:fldCharType="begin"/>
      </w:r>
      <w:r>
        <w:instrText xml:space="preserve"> PAGEREF _Toc62 \h </w:instrText>
      </w:r>
      <w:r>
        <w:fldChar w:fldCharType="separate"/>
      </w:r>
      <w:r>
        <w:t>3</w:t>
      </w:r>
      <w:r>
        <w:fldChar w:fldCharType="end"/>
      </w:r>
      <w:r>
        <w:fldChar w:fldCharType="end"/>
      </w:r>
    </w:p>
    <w:p>
      <w:pPr>
        <w:pStyle w:val="13"/>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pPr>
      <w:r>
        <w:fldChar w:fldCharType="begin"/>
      </w:r>
      <w:r>
        <w:instrText xml:space="preserve"> HYPERLINK \l _Toc8273 </w:instrText>
      </w:r>
      <w:r>
        <w:fldChar w:fldCharType="separate"/>
      </w:r>
      <w:r>
        <w:rPr>
          <w:rFonts w:hint="eastAsia" w:ascii="宋体" w:hAnsi="宋体"/>
        </w:rPr>
        <w:t>5 审核实施</w:t>
      </w:r>
      <w:r>
        <w:tab/>
      </w:r>
      <w:r>
        <w:fldChar w:fldCharType="begin"/>
      </w:r>
      <w:r>
        <w:instrText xml:space="preserve"> PAGEREF _Toc8273 \h </w:instrText>
      </w:r>
      <w:r>
        <w:fldChar w:fldCharType="separate"/>
      </w:r>
      <w:r>
        <w:t>4</w:t>
      </w:r>
      <w:r>
        <w:fldChar w:fldCharType="end"/>
      </w:r>
      <w:r>
        <w:fldChar w:fldCharType="end"/>
      </w:r>
    </w:p>
    <w:p>
      <w:pPr>
        <w:pStyle w:val="13"/>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pPr>
      <w:r>
        <w:fldChar w:fldCharType="begin"/>
      </w:r>
      <w:r>
        <w:instrText xml:space="preserve"> HYPERLINK \l _Toc16065 </w:instrText>
      </w:r>
      <w:r>
        <w:fldChar w:fldCharType="separate"/>
      </w:r>
      <w:r>
        <w:rPr>
          <w:rFonts w:hint="eastAsia"/>
        </w:rPr>
        <w:t>6 认证的批准、拒绝、保持、扩大、缩小、暂停、恢复和撤销的条件和程序</w:t>
      </w:r>
      <w:r>
        <w:tab/>
      </w:r>
      <w:r>
        <w:fldChar w:fldCharType="begin"/>
      </w:r>
      <w:r>
        <w:instrText xml:space="preserve"> PAGEREF _Toc16065 \h </w:instrText>
      </w:r>
      <w:r>
        <w:fldChar w:fldCharType="separate"/>
      </w:r>
      <w:r>
        <w:t>5</w:t>
      </w:r>
      <w:r>
        <w:fldChar w:fldCharType="end"/>
      </w:r>
      <w:r>
        <w:fldChar w:fldCharType="end"/>
      </w:r>
    </w:p>
    <w:p>
      <w:pPr>
        <w:pStyle w:val="13"/>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pPr>
      <w:r>
        <w:fldChar w:fldCharType="begin"/>
      </w:r>
      <w:r>
        <w:instrText xml:space="preserve"> HYPERLINK \l _Toc611 </w:instrText>
      </w:r>
      <w:r>
        <w:fldChar w:fldCharType="separate"/>
      </w:r>
      <w:r>
        <w:rPr>
          <w:rFonts w:hint="eastAsia" w:ascii="宋体" w:hAnsi="宋体"/>
        </w:rPr>
        <w:t>7 认证证书</w:t>
      </w:r>
      <w:r>
        <w:tab/>
      </w:r>
      <w:r>
        <w:fldChar w:fldCharType="begin"/>
      </w:r>
      <w:r>
        <w:instrText xml:space="preserve"> PAGEREF _Toc611 \h </w:instrText>
      </w:r>
      <w:r>
        <w:fldChar w:fldCharType="separate"/>
      </w:r>
      <w:r>
        <w:t>11</w:t>
      </w:r>
      <w:r>
        <w:fldChar w:fldCharType="end"/>
      </w:r>
      <w:r>
        <w:fldChar w:fldCharType="end"/>
      </w:r>
    </w:p>
    <w:p>
      <w:pPr>
        <w:pStyle w:val="13"/>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pPr>
      <w:r>
        <w:fldChar w:fldCharType="begin"/>
      </w:r>
      <w:r>
        <w:instrText xml:space="preserve"> HYPERLINK \l _Toc18904 </w:instrText>
      </w:r>
      <w:r>
        <w:fldChar w:fldCharType="separate"/>
      </w:r>
      <w:r>
        <w:rPr>
          <w:rFonts w:ascii="宋体" w:hAnsi="宋体"/>
        </w:rPr>
        <w:t>8</w:t>
      </w:r>
      <w:r>
        <w:rPr>
          <w:rFonts w:hint="eastAsia" w:ascii="宋体" w:hAnsi="宋体"/>
        </w:rPr>
        <w:t xml:space="preserve"> 获证客户的信息通报</w:t>
      </w:r>
      <w:r>
        <w:tab/>
      </w:r>
      <w:r>
        <w:fldChar w:fldCharType="begin"/>
      </w:r>
      <w:r>
        <w:instrText xml:space="preserve"> PAGEREF _Toc18904 \h </w:instrText>
      </w:r>
      <w:r>
        <w:fldChar w:fldCharType="separate"/>
      </w:r>
      <w:r>
        <w:t>12</w:t>
      </w:r>
      <w:r>
        <w:fldChar w:fldCharType="end"/>
      </w:r>
      <w:r>
        <w:fldChar w:fldCharType="end"/>
      </w:r>
    </w:p>
    <w:p>
      <w:pPr>
        <w:pStyle w:val="13"/>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pPr>
      <w:r>
        <w:fldChar w:fldCharType="begin"/>
      </w:r>
      <w:r>
        <w:instrText xml:space="preserve"> HYPERLINK \l _Toc11996 </w:instrText>
      </w:r>
      <w:r>
        <w:fldChar w:fldCharType="separate"/>
      </w:r>
      <w:r>
        <w:rPr>
          <w:rFonts w:hint="eastAsia" w:ascii="宋体" w:hAnsi="宋体"/>
        </w:rPr>
        <w:t>9 认证要求变更的条件和程序</w:t>
      </w:r>
      <w:r>
        <w:tab/>
      </w:r>
      <w:r>
        <w:fldChar w:fldCharType="begin"/>
      </w:r>
      <w:r>
        <w:instrText xml:space="preserve"> PAGEREF _Toc11996 \h </w:instrText>
      </w:r>
      <w:r>
        <w:fldChar w:fldCharType="separate"/>
      </w:r>
      <w:r>
        <w:t>12</w:t>
      </w:r>
      <w:r>
        <w:fldChar w:fldCharType="end"/>
      </w:r>
      <w:r>
        <w:fldChar w:fldCharType="end"/>
      </w:r>
    </w:p>
    <w:p>
      <w:pPr>
        <w:pStyle w:val="13"/>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pPr>
      <w:r>
        <w:fldChar w:fldCharType="begin"/>
      </w:r>
      <w:r>
        <w:instrText xml:space="preserve"> HYPERLINK \l _Toc13912 </w:instrText>
      </w:r>
      <w:r>
        <w:fldChar w:fldCharType="separate"/>
      </w:r>
      <w:r>
        <w:rPr>
          <w:rFonts w:hint="eastAsia" w:ascii="宋体" w:hAnsi="宋体"/>
        </w:rPr>
        <w:t>10 保密</w:t>
      </w:r>
      <w:r>
        <w:tab/>
      </w:r>
      <w:r>
        <w:fldChar w:fldCharType="begin"/>
      </w:r>
      <w:r>
        <w:instrText xml:space="preserve"> PAGEREF _Toc13912 \h </w:instrText>
      </w:r>
      <w:r>
        <w:fldChar w:fldCharType="separate"/>
      </w:r>
      <w:r>
        <w:t>13</w:t>
      </w:r>
      <w:r>
        <w:fldChar w:fldCharType="end"/>
      </w:r>
      <w:r>
        <w:fldChar w:fldCharType="end"/>
      </w:r>
    </w:p>
    <w:p>
      <w:pPr>
        <w:pStyle w:val="13"/>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pPr>
      <w:r>
        <w:fldChar w:fldCharType="begin"/>
      </w:r>
      <w:r>
        <w:instrText xml:space="preserve"> HYPERLINK \l _Toc570 </w:instrText>
      </w:r>
      <w:r>
        <w:fldChar w:fldCharType="separate"/>
      </w:r>
      <w:r>
        <w:rPr>
          <w:rFonts w:hint="eastAsia" w:ascii="宋体" w:hAnsi="宋体"/>
        </w:rPr>
        <w:t>11 申诉/投诉、争议及处理</w:t>
      </w:r>
      <w:r>
        <w:tab/>
      </w:r>
      <w:r>
        <w:fldChar w:fldCharType="begin"/>
      </w:r>
      <w:r>
        <w:instrText xml:space="preserve"> PAGEREF _Toc570 \h </w:instrText>
      </w:r>
      <w:r>
        <w:fldChar w:fldCharType="separate"/>
      </w:r>
      <w:r>
        <w:t>13</w:t>
      </w:r>
      <w:r>
        <w:fldChar w:fldCharType="end"/>
      </w:r>
      <w:r>
        <w:fldChar w:fldCharType="end"/>
      </w:r>
    </w:p>
    <w:p>
      <w:pPr>
        <w:pStyle w:val="13"/>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pPr>
      <w:r>
        <w:fldChar w:fldCharType="begin"/>
      </w:r>
      <w:r>
        <w:instrText xml:space="preserve"> HYPERLINK \l _Toc9668 </w:instrText>
      </w:r>
      <w:r>
        <w:fldChar w:fldCharType="separate"/>
      </w:r>
      <w:r>
        <w:rPr>
          <w:rFonts w:hint="eastAsia" w:ascii="宋体" w:hAnsi="宋体"/>
        </w:rPr>
        <w:t>12 费用</w:t>
      </w:r>
      <w:r>
        <w:tab/>
      </w:r>
      <w:r>
        <w:fldChar w:fldCharType="begin"/>
      </w:r>
      <w:r>
        <w:instrText xml:space="preserve"> PAGEREF _Toc9668 \h </w:instrText>
      </w:r>
      <w:r>
        <w:fldChar w:fldCharType="separate"/>
      </w:r>
      <w:r>
        <w:t>14</w:t>
      </w:r>
      <w:r>
        <w:fldChar w:fldCharType="end"/>
      </w:r>
      <w:r>
        <w:fldChar w:fldCharType="end"/>
      </w:r>
    </w:p>
    <w:p>
      <w:pPr>
        <w:pStyle w:val="13"/>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pPr>
      <w:r>
        <w:fldChar w:fldCharType="begin"/>
      </w:r>
      <w:r>
        <w:instrText xml:space="preserve"> HYPERLINK \l _Toc23305 </w:instrText>
      </w:r>
      <w:r>
        <w:fldChar w:fldCharType="separate"/>
      </w:r>
      <w:r>
        <w:rPr>
          <w:rFonts w:hint="eastAsia"/>
        </w:rPr>
        <w:t>13 公告</w:t>
      </w:r>
      <w:r>
        <w:tab/>
      </w:r>
      <w:r>
        <w:fldChar w:fldCharType="begin"/>
      </w:r>
      <w:r>
        <w:instrText xml:space="preserve"> PAGEREF _Toc23305 \h </w:instrText>
      </w:r>
      <w:r>
        <w:fldChar w:fldCharType="separate"/>
      </w:r>
      <w:r>
        <w:t>14</w:t>
      </w:r>
      <w:r>
        <w:fldChar w:fldCharType="end"/>
      </w:r>
      <w:r>
        <w:fldChar w:fldCharType="end"/>
      </w:r>
    </w:p>
    <w:p>
      <w:pPr>
        <w:pStyle w:val="13"/>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pPr>
      <w:r>
        <w:fldChar w:fldCharType="begin"/>
      </w:r>
      <w:r>
        <w:instrText xml:space="preserve"> HYPERLINK \l _Toc31550 </w:instrText>
      </w:r>
      <w:r>
        <w:fldChar w:fldCharType="separate"/>
      </w:r>
      <w:r>
        <w:rPr>
          <w:rFonts w:hint="eastAsia"/>
        </w:rPr>
        <w:t>14 附则</w:t>
      </w:r>
      <w:r>
        <w:tab/>
      </w:r>
      <w:r>
        <w:fldChar w:fldCharType="begin"/>
      </w:r>
      <w:r>
        <w:instrText xml:space="preserve"> PAGEREF _Toc31550 \h </w:instrText>
      </w:r>
      <w:r>
        <w:fldChar w:fldCharType="separate"/>
      </w:r>
      <w:r>
        <w:t>14</w:t>
      </w:r>
      <w:r>
        <w:fldChar w:fldCharType="end"/>
      </w:r>
      <w:r>
        <w:fldChar w:fldCharType="end"/>
      </w:r>
    </w:p>
    <w:p>
      <w:pPr>
        <w:keepNext w:val="0"/>
        <w:keepLines w:val="0"/>
        <w:pageBreakBefore w:val="0"/>
        <w:widowControl w:val="0"/>
        <w:kinsoku/>
        <w:wordWrap/>
        <w:overflowPunct/>
        <w:topLinePunct w:val="0"/>
        <w:autoSpaceDE/>
        <w:autoSpaceDN/>
        <w:bidi w:val="0"/>
        <w:adjustRightInd/>
        <w:snapToGrid/>
        <w:spacing w:line="360" w:lineRule="auto"/>
        <w:textAlignment w:val="auto"/>
      </w:pPr>
      <w:r>
        <w:fldChar w:fldCharType="end"/>
      </w:r>
    </w:p>
    <w:p>
      <w:pPr>
        <w:ind w:firstLine="602" w:firstLineChars="200"/>
        <w:jc w:val="center"/>
        <w:rPr>
          <w:b/>
          <w:bCs/>
          <w:sz w:val="30"/>
        </w:rPr>
      </w:pPr>
    </w:p>
    <w:p>
      <w:pPr>
        <w:ind w:firstLine="602" w:firstLineChars="200"/>
        <w:jc w:val="center"/>
        <w:rPr>
          <w:b/>
          <w:bCs/>
          <w:sz w:val="30"/>
        </w:rPr>
      </w:pPr>
      <w:bookmarkStart w:id="132" w:name="_GoBack"/>
      <w:bookmarkEnd w:id="132"/>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pStyle w:val="15"/>
        <w:spacing w:before="0" w:after="0"/>
        <w:outlineLvl w:val="9"/>
        <w:rPr>
          <w:rFonts w:ascii="黑体" w:hAnsi="黑体" w:eastAsia="黑体"/>
          <w:b w:val="0"/>
          <w:sz w:val="36"/>
          <w:szCs w:val="36"/>
        </w:rPr>
      </w:pPr>
      <w:bookmarkStart w:id="0" w:name="_Toc444776326"/>
      <w:bookmarkStart w:id="1" w:name="_Toc440007487"/>
    </w:p>
    <w:p>
      <w:pPr>
        <w:pStyle w:val="15"/>
        <w:spacing w:before="0" w:after="0"/>
        <w:outlineLvl w:val="9"/>
        <w:rPr>
          <w:rFonts w:ascii="黑体" w:hAnsi="黑体" w:eastAsia="黑体"/>
          <w:b w:val="0"/>
          <w:sz w:val="48"/>
          <w:szCs w:val="48"/>
        </w:rPr>
      </w:pPr>
      <w:bookmarkStart w:id="2" w:name="_Toc26635"/>
      <w:bookmarkStart w:id="3" w:name="_Toc28380"/>
      <w:bookmarkStart w:id="4" w:name="_Toc5629"/>
      <w:r>
        <w:rPr>
          <w:rFonts w:hint="eastAsia" w:ascii="黑体" w:hAnsi="黑体" w:eastAsia="黑体"/>
          <w:b w:val="0"/>
          <w:sz w:val="36"/>
          <w:szCs w:val="36"/>
        </w:rPr>
        <w:t>数据安全风险管理认证实施方案</w:t>
      </w:r>
      <w:bookmarkEnd w:id="0"/>
      <w:bookmarkEnd w:id="1"/>
      <w:bookmarkEnd w:id="2"/>
      <w:bookmarkEnd w:id="3"/>
      <w:bookmarkEnd w:id="4"/>
    </w:p>
    <w:p>
      <w:pPr>
        <w:spacing w:line="360" w:lineRule="auto"/>
        <w:ind w:firstLine="720" w:firstLineChars="200"/>
        <w:jc w:val="center"/>
        <w:rPr>
          <w:rFonts w:ascii="黑体" w:eastAsia="黑体"/>
          <w:sz w:val="36"/>
          <w:szCs w:val="36"/>
        </w:rPr>
      </w:pPr>
    </w:p>
    <w:p>
      <w:pPr>
        <w:pStyle w:val="2"/>
        <w:keepNext/>
        <w:keepLines/>
        <w:pageBreakBefore w:val="0"/>
        <w:widowControl w:val="0"/>
        <w:kinsoku/>
        <w:wordWrap/>
        <w:overflowPunct/>
        <w:topLinePunct w:val="0"/>
        <w:autoSpaceDE/>
        <w:autoSpaceDN/>
        <w:bidi w:val="0"/>
        <w:adjustRightInd/>
        <w:snapToGrid w:val="0"/>
        <w:spacing w:before="313" w:beforeLines="100" w:after="313" w:afterLines="100" w:line="240" w:lineRule="auto"/>
        <w:textAlignment w:val="auto"/>
        <w:rPr>
          <w:rFonts w:hint="eastAsia"/>
        </w:rPr>
      </w:pPr>
      <w:bookmarkStart w:id="5" w:name="_Toc85103622"/>
      <w:bookmarkStart w:id="6" w:name="_Toc185325622"/>
      <w:bookmarkStart w:id="7" w:name="_Toc85256247"/>
      <w:bookmarkStart w:id="8" w:name="_Toc85105511"/>
      <w:bookmarkStart w:id="9" w:name="_Toc10629"/>
      <w:r>
        <w:rPr>
          <w:rFonts w:hint="eastAsia"/>
        </w:rPr>
        <w:t>1</w:t>
      </w:r>
      <w:r>
        <w:rPr>
          <w:rFonts w:hint="eastAsia"/>
        </w:rPr>
        <w:t xml:space="preserve"> 适用范围</w:t>
      </w:r>
      <w:bookmarkEnd w:id="5"/>
      <w:bookmarkEnd w:id="6"/>
      <w:bookmarkEnd w:id="7"/>
      <w:bookmarkEnd w:id="8"/>
      <w:bookmarkEnd w:id="9"/>
    </w:p>
    <w:p>
      <w:pPr>
        <w:spacing w:line="360" w:lineRule="auto"/>
        <w:ind w:firstLine="480" w:firstLineChars="200"/>
        <w:rPr>
          <w:rFonts w:ascii="宋体" w:hAnsi="宋体"/>
          <w:sz w:val="24"/>
        </w:rPr>
      </w:pPr>
      <w:r>
        <w:rPr>
          <w:rFonts w:hint="eastAsia" w:ascii="宋体" w:hAnsi="宋体"/>
          <w:sz w:val="24"/>
        </w:rPr>
        <w:t>本认证方案适用于方圆标志认证集团有限公司（以下简称：CQM）实施数据安全风险管理认证，满足第三方认证制度要求，作为提供认证服务的规范。必要时，在认证合同中补充相关的技术要求。</w:t>
      </w:r>
    </w:p>
    <w:p>
      <w:pPr>
        <w:spacing w:line="360" w:lineRule="auto"/>
        <w:ind w:firstLine="480" w:firstLineChars="200"/>
        <w:rPr>
          <w:sz w:val="24"/>
        </w:rPr>
      </w:pPr>
      <w:r>
        <w:rPr>
          <w:rFonts w:hint="eastAsia"/>
          <w:sz w:val="24"/>
        </w:rPr>
        <w:t>本认证方案在认证双方签订合同时予以确认和采用。</w:t>
      </w:r>
      <w:bookmarkStart w:id="10" w:name="_Toc33599704"/>
      <w:bookmarkStart w:id="11" w:name="_Toc85256248"/>
      <w:bookmarkStart w:id="12" w:name="_Toc33598962"/>
      <w:bookmarkStart w:id="13" w:name="_Toc85105512"/>
      <w:bookmarkStart w:id="14" w:name="_Toc33600411"/>
      <w:bookmarkStart w:id="15" w:name="_Toc33598902"/>
      <w:bookmarkStart w:id="16" w:name="_Toc33598531"/>
      <w:bookmarkStart w:id="17" w:name="_Toc33600362"/>
      <w:bookmarkStart w:id="18" w:name="_Toc33599577"/>
      <w:bookmarkStart w:id="19" w:name="_Toc85103623"/>
    </w:p>
    <w:p>
      <w:pPr>
        <w:pStyle w:val="2"/>
        <w:keepNext/>
        <w:keepLines/>
        <w:pageBreakBefore w:val="0"/>
        <w:widowControl w:val="0"/>
        <w:kinsoku/>
        <w:wordWrap/>
        <w:overflowPunct/>
        <w:topLinePunct w:val="0"/>
        <w:autoSpaceDE/>
        <w:autoSpaceDN/>
        <w:bidi w:val="0"/>
        <w:adjustRightInd/>
        <w:snapToGrid w:val="0"/>
        <w:spacing w:before="313" w:beforeLines="100" w:after="313" w:afterLines="100" w:line="240" w:lineRule="auto"/>
        <w:textAlignment w:val="auto"/>
      </w:pPr>
      <w:bookmarkStart w:id="20" w:name="_Toc185325623"/>
      <w:bookmarkStart w:id="21" w:name="_Toc17044"/>
      <w:r>
        <w:rPr>
          <w:rFonts w:hint="eastAsia"/>
        </w:rPr>
        <w:t>2 认证模式</w:t>
      </w:r>
      <w:bookmarkEnd w:id="10"/>
      <w:bookmarkEnd w:id="11"/>
      <w:bookmarkEnd w:id="12"/>
      <w:bookmarkEnd w:id="13"/>
      <w:bookmarkEnd w:id="14"/>
      <w:bookmarkEnd w:id="15"/>
      <w:bookmarkEnd w:id="16"/>
      <w:bookmarkEnd w:id="17"/>
      <w:bookmarkEnd w:id="18"/>
      <w:bookmarkEnd w:id="19"/>
      <w:bookmarkEnd w:id="20"/>
      <w:bookmarkEnd w:id="21"/>
    </w:p>
    <w:p>
      <w:pPr>
        <w:spacing w:line="360" w:lineRule="auto"/>
        <w:ind w:firstLine="480" w:firstLineChars="200"/>
        <w:rPr>
          <w:rFonts w:ascii="宋体" w:hAnsi="宋体"/>
          <w:sz w:val="24"/>
        </w:rPr>
      </w:pPr>
      <w:r>
        <w:rPr>
          <w:rFonts w:hint="eastAsia" w:ascii="宋体" w:hAnsi="宋体"/>
          <w:sz w:val="24"/>
        </w:rPr>
        <w:t>CQM首先对受审核方的数据安全风险管理进行初次审核，经过评定，确认是否批准认证；通过认证之后，在认证证书的有效期内对获证客户进行监督，确认是否持续满足认证要求。</w:t>
      </w:r>
    </w:p>
    <w:p>
      <w:pPr>
        <w:pStyle w:val="2"/>
        <w:keepNext/>
        <w:keepLines/>
        <w:pageBreakBefore w:val="0"/>
        <w:widowControl w:val="0"/>
        <w:kinsoku/>
        <w:wordWrap/>
        <w:overflowPunct/>
        <w:topLinePunct w:val="0"/>
        <w:autoSpaceDE/>
        <w:autoSpaceDN/>
        <w:bidi w:val="0"/>
        <w:adjustRightInd/>
        <w:snapToGrid w:val="0"/>
        <w:spacing w:before="313" w:beforeLines="100" w:after="313" w:afterLines="100" w:line="240" w:lineRule="auto"/>
        <w:textAlignment w:val="auto"/>
        <w:rPr>
          <w:rFonts w:hint="eastAsia"/>
        </w:rPr>
      </w:pPr>
      <w:bookmarkStart w:id="22" w:name="_Toc85256249"/>
      <w:bookmarkStart w:id="23" w:name="_Toc85105513"/>
      <w:bookmarkStart w:id="24" w:name="_Toc85103624"/>
      <w:bookmarkStart w:id="25" w:name="_Toc185325624"/>
      <w:bookmarkStart w:id="26" w:name="_Toc7264"/>
      <w:r>
        <w:rPr>
          <w:rFonts w:hint="eastAsia"/>
        </w:rPr>
        <w:t>3 认证过程流程图</w:t>
      </w:r>
      <w:bookmarkEnd w:id="22"/>
      <w:bookmarkEnd w:id="23"/>
      <w:bookmarkEnd w:id="24"/>
      <w:bookmarkEnd w:id="25"/>
      <w:bookmarkEnd w:id="26"/>
    </w:p>
    <w:p>
      <w:pPr>
        <w:spacing w:line="360" w:lineRule="auto"/>
      </w:pPr>
      <w:r>
        <w:drawing>
          <wp:anchor distT="0" distB="0" distL="114300" distR="114300" simplePos="0" relativeHeight="251659264" behindDoc="0" locked="0" layoutInCell="1" allowOverlap="1">
            <wp:simplePos x="0" y="0"/>
            <wp:positionH relativeFrom="column">
              <wp:posOffset>1148715</wp:posOffset>
            </wp:positionH>
            <wp:positionV relativeFrom="paragraph">
              <wp:posOffset>127000</wp:posOffset>
            </wp:positionV>
            <wp:extent cx="2874010" cy="3636010"/>
            <wp:effectExtent l="19050" t="0" r="2721" b="0"/>
            <wp:wrapNone/>
            <wp:docPr id="6" name="对象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对象 2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873829" cy="3635882"/>
                    </a:xfrm>
                    <a:prstGeom prst="rect">
                      <a:avLst/>
                    </a:prstGeom>
                    <a:noFill/>
                  </pic:spPr>
                </pic:pic>
              </a:graphicData>
            </a:graphic>
          </wp:anchor>
        </w:drawing>
      </w:r>
    </w:p>
    <w:p>
      <w:pPr>
        <w:spacing w:line="360" w:lineRule="auto"/>
      </w:pPr>
    </w:p>
    <w:p>
      <w:pPr>
        <w:spacing w:line="360" w:lineRule="auto"/>
      </w:pPr>
    </w:p>
    <w:p>
      <w:pPr>
        <w:spacing w:line="360" w:lineRule="auto"/>
      </w:pPr>
    </w:p>
    <w:p>
      <w:pPr>
        <w:spacing w:line="360" w:lineRule="auto"/>
      </w:pPr>
      <w:r>
        <w:pict>
          <v:shape id="_x0000_s1030" o:spid="_x0000_s1030" o:spt="110" type="#_x0000_t110" style="position:absolute;left:0pt;margin-left:154.6pt;margin-top:0.35pt;height:33.9pt;width:96.2pt;z-index:251664384;mso-width-relative:page;mso-height-relative:page;" coordsize="21600,21600">
            <v:path/>
            <v:fill focussize="0,0"/>
            <v:stroke joinstyle="miter"/>
            <v:imagedata o:title=""/>
            <o:lock v:ext="edit"/>
            <v:textbox>
              <w:txbxContent>
                <w:p>
                  <w:pPr>
                    <w:rPr>
                      <w:sz w:val="11"/>
                      <w:szCs w:val="11"/>
                    </w:rPr>
                  </w:pPr>
                  <w:r>
                    <w:rPr>
                      <w:rFonts w:hint="eastAsia"/>
                      <w:sz w:val="11"/>
                      <w:szCs w:val="11"/>
                    </w:rPr>
                    <w:t>文审及现场审核</w:t>
                  </w:r>
                </w:p>
              </w:txbxContent>
            </v:textbox>
          </v:shape>
        </w:pict>
      </w:r>
      <w:r>
        <w:pict>
          <v:shape id="_x0000_s1029" o:spid="_x0000_s1029" o:spt="110" type="#_x0000_t110" style="position:absolute;left:0pt;margin-left:154.6pt;margin-top:0.35pt;height:33.9pt;width:96.2pt;z-index:251663360;mso-width-relative:page;mso-height-relative:page;" coordsize="21600,21600">
            <v:path/>
            <v:fill focussize="0,0"/>
            <v:stroke joinstyle="miter"/>
            <v:imagedata o:title=""/>
            <o:lock v:ext="edit"/>
            <v:textbox>
              <w:txbxContent>
                <w:p>
                  <w:pPr>
                    <w:rPr>
                      <w:sz w:val="11"/>
                      <w:szCs w:val="11"/>
                    </w:rPr>
                  </w:pPr>
                  <w:r>
                    <w:rPr>
                      <w:rFonts w:hint="eastAsia"/>
                      <w:sz w:val="11"/>
                      <w:szCs w:val="11"/>
                    </w:rPr>
                    <w:t>文审及现场审核</w:t>
                  </w:r>
                </w:p>
              </w:txbxContent>
            </v:textbox>
          </v:shape>
        </w:pict>
      </w:r>
      <w:r>
        <w:pict>
          <v:shape id="_x0000_s1028" o:spid="_x0000_s1028" o:spt="110" type="#_x0000_t110" style="position:absolute;left:0pt;margin-left:154.6pt;margin-top:0.35pt;height:33.9pt;width:96.2pt;z-index:251662336;mso-width-relative:page;mso-height-relative:page;" coordsize="21600,21600">
            <v:path/>
            <v:fill focussize="0,0"/>
            <v:stroke joinstyle="miter"/>
            <v:imagedata o:title=""/>
            <o:lock v:ext="edit"/>
            <v:textbox>
              <w:txbxContent>
                <w:p>
                  <w:pPr>
                    <w:rPr>
                      <w:sz w:val="11"/>
                      <w:szCs w:val="11"/>
                    </w:rPr>
                  </w:pPr>
                  <w:r>
                    <w:rPr>
                      <w:rFonts w:hint="eastAsia"/>
                      <w:sz w:val="11"/>
                      <w:szCs w:val="11"/>
                    </w:rPr>
                    <w:t>文审及现场审核</w:t>
                  </w:r>
                </w:p>
              </w:txbxContent>
            </v:textbox>
          </v:shape>
        </w:pic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pStyle w:val="2"/>
        <w:keepNext/>
        <w:keepLines/>
        <w:pageBreakBefore w:val="0"/>
        <w:widowControl w:val="0"/>
        <w:kinsoku/>
        <w:wordWrap/>
        <w:overflowPunct/>
        <w:topLinePunct w:val="0"/>
        <w:autoSpaceDE/>
        <w:autoSpaceDN/>
        <w:bidi w:val="0"/>
        <w:adjustRightInd/>
        <w:snapToGrid w:val="0"/>
        <w:spacing w:before="313" w:beforeLines="100" w:after="313" w:afterLines="100" w:line="240" w:lineRule="auto"/>
        <w:textAlignment w:val="auto"/>
        <w:rPr>
          <w:rFonts w:hint="eastAsia"/>
        </w:rPr>
      </w:pPr>
      <w:bookmarkStart w:id="27" w:name="_Toc33599578"/>
      <w:bookmarkStart w:id="28" w:name="_Toc85105514"/>
      <w:bookmarkStart w:id="29" w:name="_Toc33600363"/>
      <w:bookmarkStart w:id="30" w:name="_Toc33598532"/>
      <w:bookmarkStart w:id="31" w:name="_Toc33599705"/>
      <w:bookmarkStart w:id="32" w:name="_Toc33598963"/>
      <w:bookmarkStart w:id="33" w:name="_Toc85256250"/>
      <w:bookmarkStart w:id="34" w:name="_Toc85103625"/>
      <w:bookmarkStart w:id="35" w:name="_Toc185325625"/>
      <w:bookmarkStart w:id="36" w:name="_Toc33600412"/>
      <w:bookmarkStart w:id="37" w:name="_Toc33598903"/>
      <w:bookmarkStart w:id="38" w:name="_Toc62"/>
      <w:r>
        <w:rPr>
          <w:rFonts w:hint="eastAsia"/>
        </w:rPr>
        <w:t>4 认证申请</w:t>
      </w:r>
      <w:bookmarkEnd w:id="27"/>
      <w:bookmarkEnd w:id="28"/>
      <w:bookmarkEnd w:id="29"/>
      <w:bookmarkEnd w:id="30"/>
      <w:bookmarkEnd w:id="31"/>
      <w:bookmarkEnd w:id="32"/>
      <w:bookmarkEnd w:id="33"/>
      <w:bookmarkEnd w:id="34"/>
      <w:bookmarkEnd w:id="35"/>
      <w:bookmarkEnd w:id="36"/>
      <w:bookmarkEnd w:id="37"/>
      <w:bookmarkEnd w:id="38"/>
    </w:p>
    <w:p>
      <w:pPr>
        <w:spacing w:line="360" w:lineRule="auto"/>
        <w:rPr>
          <w:rFonts w:ascii="宋体" w:hAnsi="宋体" w:cs="宋体"/>
          <w:b/>
          <w:sz w:val="24"/>
        </w:rPr>
      </w:pPr>
      <w:r>
        <w:rPr>
          <w:rFonts w:hint="eastAsia" w:ascii="宋体" w:hAnsi="宋体" w:cs="宋体"/>
          <w:b/>
          <w:sz w:val="24"/>
        </w:rPr>
        <w:t>4.1认证申请的基本条件</w:t>
      </w:r>
    </w:p>
    <w:p>
      <w:pPr>
        <w:numPr>
          <w:ilvl w:val="0"/>
          <w:numId w:val="1"/>
        </w:numPr>
        <w:spacing w:line="360" w:lineRule="auto"/>
        <w:rPr>
          <w:rFonts w:ascii="宋体" w:hAnsi="宋体" w:cs="宋体"/>
          <w:color w:val="000000"/>
          <w:sz w:val="24"/>
        </w:rPr>
      </w:pPr>
      <w:r>
        <w:rPr>
          <w:rFonts w:hint="eastAsia" w:ascii="宋体" w:hAnsi="宋体" w:cs="宋体"/>
          <w:sz w:val="24"/>
        </w:rPr>
        <w:t>认证客户具有明确的法律地位,客户具有企业营业执照、事业单位法人证书、社会团体登记证书、非企业法人登记证书等，可独立申</w:t>
      </w:r>
      <w:r>
        <w:rPr>
          <w:rFonts w:hint="eastAsia" w:ascii="宋体" w:hAnsi="宋体" w:cs="宋体"/>
          <w:color w:val="000000"/>
          <w:sz w:val="24"/>
        </w:rPr>
        <w:t xml:space="preserve">请认证。其他类型的客户，应由具备资格的单位代为申请； </w:t>
      </w:r>
    </w:p>
    <w:p>
      <w:pPr>
        <w:numPr>
          <w:ilvl w:val="0"/>
          <w:numId w:val="1"/>
        </w:numPr>
        <w:spacing w:line="360" w:lineRule="auto"/>
        <w:rPr>
          <w:rFonts w:ascii="宋体" w:hAnsi="宋体"/>
          <w:color w:val="000000"/>
          <w:sz w:val="24"/>
        </w:rPr>
      </w:pPr>
      <w:r>
        <w:rPr>
          <w:rFonts w:hint="eastAsia" w:ascii="宋体" w:hAnsi="宋体" w:cs="宋体"/>
          <w:color w:val="000000"/>
          <w:sz w:val="24"/>
        </w:rPr>
        <w:t>国家、地方或行业有要求时，认证客户具有规定的行政许可文件</w:t>
      </w:r>
      <w:r>
        <w:rPr>
          <w:rFonts w:ascii="宋体" w:hAnsi="宋体" w:cs="宋体"/>
          <w:color w:val="000000"/>
          <w:sz w:val="24"/>
        </w:rPr>
        <w:t>,</w:t>
      </w:r>
      <w:r>
        <w:rPr>
          <w:rFonts w:hint="eastAsia" w:ascii="宋体" w:hAnsi="宋体" w:cs="宋体"/>
          <w:color w:val="000000"/>
          <w:sz w:val="24"/>
        </w:rPr>
        <w:t>其申请认证范围应在法律地位文件和行政许可文件核准的范围内；</w:t>
      </w:r>
    </w:p>
    <w:p>
      <w:pPr>
        <w:numPr>
          <w:ilvl w:val="0"/>
          <w:numId w:val="1"/>
        </w:numPr>
        <w:spacing w:line="360" w:lineRule="auto"/>
        <w:rPr>
          <w:rFonts w:ascii="宋体" w:hAnsi="宋体" w:cs="宋体"/>
          <w:color w:val="000000"/>
          <w:sz w:val="24"/>
        </w:rPr>
      </w:pPr>
      <w:r>
        <w:rPr>
          <w:rFonts w:hint="eastAsia" w:ascii="宋体" w:hAnsi="宋体" w:cs="宋体"/>
          <w:color w:val="000000"/>
          <w:sz w:val="24"/>
        </w:rPr>
        <w:t>认证客户承诺遵守国家的法律、法规及其他要求,承诺始终遵守认证的有关规定，承担与认证有关的法律责任，并有义务协助认证监管部门的监督检查，对有关事项的询问和调查如实提供相关材料和信息；</w:t>
      </w:r>
    </w:p>
    <w:p>
      <w:pPr>
        <w:numPr>
          <w:ilvl w:val="0"/>
          <w:numId w:val="1"/>
        </w:numPr>
        <w:spacing w:line="360" w:lineRule="auto"/>
        <w:rPr>
          <w:rFonts w:ascii="宋体" w:hAnsi="宋体" w:cs="宋体"/>
          <w:color w:val="000000"/>
          <w:sz w:val="24"/>
        </w:rPr>
      </w:pPr>
      <w:r>
        <w:rPr>
          <w:rFonts w:hint="eastAsia" w:ascii="宋体" w:hAnsi="宋体" w:cs="宋体"/>
          <w:color w:val="000000"/>
          <w:sz w:val="24"/>
        </w:rPr>
        <w:t>认证客户在全国企业信用信息公示系统中未被列入“严重违法企业名单”；</w:t>
      </w:r>
    </w:p>
    <w:p>
      <w:pPr>
        <w:numPr>
          <w:ilvl w:val="0"/>
          <w:numId w:val="1"/>
        </w:numPr>
        <w:spacing w:line="360" w:lineRule="auto"/>
        <w:rPr>
          <w:rFonts w:ascii="宋体" w:hAnsi="宋体" w:cs="宋体"/>
          <w:color w:val="000000"/>
          <w:sz w:val="24"/>
        </w:rPr>
      </w:pPr>
      <w:r>
        <w:rPr>
          <w:rFonts w:ascii="宋体" w:hAnsi="宋体" w:cs="宋体"/>
          <w:color w:val="000000"/>
          <w:sz w:val="24"/>
        </w:rPr>
        <w:t>近一年内通过数据安全风险评估检测并提供检测报告</w:t>
      </w:r>
      <w:r>
        <w:rPr>
          <w:rFonts w:hint="eastAsia" w:ascii="宋体" w:hAnsi="宋体" w:cs="宋体"/>
          <w:color w:val="000000"/>
          <w:sz w:val="24"/>
        </w:rPr>
        <w:t>；</w:t>
      </w:r>
    </w:p>
    <w:p>
      <w:pPr>
        <w:numPr>
          <w:ilvl w:val="0"/>
          <w:numId w:val="1"/>
        </w:numPr>
        <w:spacing w:line="360" w:lineRule="auto"/>
        <w:rPr>
          <w:rFonts w:ascii="宋体" w:hAnsi="宋体" w:cs="宋体"/>
          <w:color w:val="000000"/>
          <w:sz w:val="24"/>
        </w:rPr>
      </w:pPr>
      <w:r>
        <w:rPr>
          <w:rFonts w:hint="eastAsia" w:ascii="宋体" w:hAnsi="宋体" w:cs="宋体"/>
          <w:sz w:val="24"/>
        </w:rPr>
        <w:t>认证客户承诺获得CQM认证后，按规定使用认证证书和认证标志和有关信息，</w:t>
      </w:r>
      <w:r>
        <w:rPr>
          <w:rFonts w:hint="eastAsia" w:ascii="宋体" w:hAnsi="宋体" w:cs="宋体"/>
          <w:color w:val="000000"/>
          <w:sz w:val="24"/>
        </w:rPr>
        <w:t>不得擅自利用</w:t>
      </w:r>
      <w:r>
        <w:rPr>
          <w:rFonts w:hint="eastAsia" w:ascii="宋体" w:hAnsi="宋体" w:cs="宋体"/>
          <w:sz w:val="24"/>
        </w:rPr>
        <w:t>数据安全风险</w:t>
      </w:r>
      <w:r>
        <w:rPr>
          <w:rFonts w:hint="eastAsia" w:ascii="宋体" w:hAnsi="宋体" w:cs="宋体"/>
          <w:color w:val="000000"/>
          <w:sz w:val="24"/>
        </w:rPr>
        <w:t>管理认证证书的文字、符号误导公众认为其产品或服务通过认证按合同支付认证费用，并按规定接受监督；</w:t>
      </w:r>
    </w:p>
    <w:p>
      <w:pPr>
        <w:numPr>
          <w:ilvl w:val="0"/>
          <w:numId w:val="1"/>
        </w:numPr>
        <w:spacing w:line="360" w:lineRule="auto"/>
        <w:rPr>
          <w:rFonts w:ascii="宋体" w:hAnsi="宋体" w:cs="宋体"/>
          <w:color w:val="000000"/>
          <w:sz w:val="24"/>
        </w:rPr>
      </w:pPr>
      <w:r>
        <w:rPr>
          <w:rFonts w:hint="eastAsia" w:ascii="宋体" w:hAnsi="宋体" w:cs="宋体"/>
          <w:color w:val="000000"/>
          <w:sz w:val="24"/>
        </w:rPr>
        <w:t>认证客户承诺获得CQM认证后，按照CQM要求向CQM通报</w:t>
      </w:r>
      <w:r>
        <w:rPr>
          <w:rFonts w:hint="eastAsia" w:ascii="宋体" w:hAnsi="宋体" w:cs="宋体"/>
          <w:sz w:val="24"/>
        </w:rPr>
        <w:t>数据安全风险</w:t>
      </w:r>
      <w:r>
        <w:rPr>
          <w:rFonts w:hint="eastAsia" w:ascii="宋体" w:hAnsi="宋体" w:cs="宋体"/>
          <w:color w:val="000000"/>
          <w:sz w:val="24"/>
        </w:rPr>
        <w:t>管理变更的信息和其他可能影响</w:t>
      </w:r>
      <w:r>
        <w:rPr>
          <w:rFonts w:hint="eastAsia" w:ascii="宋体" w:hAnsi="宋体" w:cs="宋体"/>
          <w:sz w:val="24"/>
        </w:rPr>
        <w:t>数据安全风险</w:t>
      </w:r>
      <w:r>
        <w:rPr>
          <w:rFonts w:hint="eastAsia" w:ascii="宋体" w:hAnsi="宋体" w:cs="宋体"/>
          <w:color w:val="000000"/>
          <w:sz w:val="24"/>
        </w:rPr>
        <w:t>管理持续满足认证标准要求的能力的事宜的信息，一般包括：客户及相关方有重大投诉；发生重大事故；相关情况发生变更（包括：法律地位、生产经营状况、组织状态或所有权变更、强制性认证或其他资质证书变更；法定代表人、最高管理者、管理者代表发生变更；生产经营或服务的工作场所变更；</w:t>
      </w:r>
      <w:r>
        <w:rPr>
          <w:rFonts w:hint="eastAsia" w:ascii="宋体" w:hAnsi="宋体" w:cs="宋体"/>
          <w:sz w:val="24"/>
        </w:rPr>
        <w:t>数据安全风险</w:t>
      </w:r>
      <w:r>
        <w:rPr>
          <w:rFonts w:hint="eastAsia" w:ascii="宋体" w:hAnsi="宋体" w:cs="宋体"/>
          <w:color w:val="000000"/>
          <w:sz w:val="24"/>
        </w:rPr>
        <w:t>管理覆盖的活动范围变更；</w:t>
      </w:r>
      <w:r>
        <w:rPr>
          <w:rFonts w:hint="eastAsia" w:ascii="宋体" w:hAnsi="宋体" w:cs="宋体"/>
          <w:sz w:val="24"/>
        </w:rPr>
        <w:t>数据安全风险</w:t>
      </w:r>
      <w:r>
        <w:rPr>
          <w:rFonts w:hint="eastAsia" w:ascii="宋体" w:hAnsi="宋体" w:cs="宋体"/>
          <w:color w:val="000000"/>
          <w:sz w:val="24"/>
        </w:rPr>
        <w:t>管理和重要过程的重大变更等）；出现影响</w:t>
      </w:r>
      <w:r>
        <w:rPr>
          <w:rFonts w:hint="eastAsia" w:ascii="宋体" w:hAnsi="宋体" w:cs="宋体"/>
          <w:sz w:val="24"/>
        </w:rPr>
        <w:t>数据安全风险</w:t>
      </w:r>
      <w:r>
        <w:rPr>
          <w:rFonts w:hint="eastAsia" w:ascii="宋体" w:hAnsi="宋体" w:cs="宋体"/>
          <w:color w:val="000000"/>
          <w:sz w:val="24"/>
        </w:rPr>
        <w:t>管理运行的其他重要情况；</w:t>
      </w:r>
    </w:p>
    <w:p>
      <w:pPr>
        <w:numPr>
          <w:ilvl w:val="0"/>
          <w:numId w:val="1"/>
        </w:numPr>
        <w:spacing w:line="360" w:lineRule="auto"/>
        <w:rPr>
          <w:rFonts w:ascii="宋体" w:hAnsi="宋体" w:cs="宋体"/>
          <w:color w:val="000000"/>
          <w:sz w:val="24"/>
        </w:rPr>
      </w:pPr>
      <w:r>
        <w:rPr>
          <w:rFonts w:hint="eastAsia" w:ascii="宋体" w:hAnsi="宋体" w:cs="宋体"/>
          <w:color w:val="000000"/>
          <w:sz w:val="24"/>
        </w:rPr>
        <w:t>认证审核期间，认证客户能够提供与拟认证范围相关的活动或过程。</w:t>
      </w:r>
    </w:p>
    <w:p>
      <w:pPr>
        <w:spacing w:line="360" w:lineRule="auto"/>
        <w:rPr>
          <w:rFonts w:ascii="宋体" w:hAnsi="宋体" w:cs="宋体"/>
          <w:b/>
          <w:sz w:val="24"/>
        </w:rPr>
      </w:pPr>
      <w:r>
        <w:rPr>
          <w:rFonts w:hint="eastAsia" w:ascii="宋体" w:hAnsi="宋体" w:cs="宋体"/>
          <w:b/>
          <w:sz w:val="24"/>
        </w:rPr>
        <w:t>4.2不予受理认证申请的情形</w:t>
      </w:r>
    </w:p>
    <w:p>
      <w:pPr>
        <w:numPr>
          <w:ilvl w:val="0"/>
          <w:numId w:val="2"/>
        </w:numPr>
        <w:spacing w:line="360" w:lineRule="auto"/>
        <w:rPr>
          <w:rFonts w:ascii="宋体" w:hAnsi="宋体" w:cs="宋体"/>
          <w:sz w:val="24"/>
        </w:rPr>
      </w:pPr>
      <w:r>
        <w:rPr>
          <w:rFonts w:hint="eastAsia" w:ascii="宋体" w:hAnsi="宋体" w:cs="宋体"/>
          <w:sz w:val="24"/>
        </w:rPr>
        <w:t>认证客户申请</w:t>
      </w:r>
      <w:r>
        <w:rPr>
          <w:rFonts w:ascii="宋体" w:hAnsi="宋体" w:cs="宋体"/>
          <w:sz w:val="24"/>
        </w:rPr>
        <w:t>的认证</w:t>
      </w:r>
      <w:r>
        <w:rPr>
          <w:rFonts w:hint="eastAsia" w:ascii="宋体" w:hAnsi="宋体" w:cs="宋体"/>
          <w:sz w:val="24"/>
        </w:rPr>
        <w:t>范围超出法律地位文件和行政认可文件核准的范围内的；</w:t>
      </w:r>
    </w:p>
    <w:p>
      <w:pPr>
        <w:numPr>
          <w:ilvl w:val="0"/>
          <w:numId w:val="2"/>
        </w:numPr>
        <w:spacing w:line="360" w:lineRule="auto"/>
        <w:rPr>
          <w:rFonts w:ascii="宋体" w:hAnsi="宋体" w:cs="宋体"/>
          <w:sz w:val="24"/>
        </w:rPr>
      </w:pPr>
      <w:r>
        <w:rPr>
          <w:rFonts w:hint="eastAsia" w:ascii="宋体" w:hAnsi="宋体" w:cs="宋体"/>
          <w:sz w:val="24"/>
        </w:rPr>
        <w:t>认证客户不满足4.1中其他相关要求或近一年内发生其他违反国家法律法规、行业规定的情形。</w:t>
      </w:r>
    </w:p>
    <w:p>
      <w:pPr>
        <w:pStyle w:val="2"/>
        <w:keepNext/>
        <w:keepLines/>
        <w:pageBreakBefore w:val="0"/>
        <w:widowControl w:val="0"/>
        <w:kinsoku/>
        <w:wordWrap/>
        <w:overflowPunct/>
        <w:topLinePunct w:val="0"/>
        <w:autoSpaceDE/>
        <w:autoSpaceDN/>
        <w:bidi w:val="0"/>
        <w:adjustRightInd/>
        <w:snapToGrid w:val="0"/>
        <w:spacing w:before="313" w:beforeLines="100" w:after="313" w:afterLines="100" w:line="240" w:lineRule="auto"/>
        <w:textAlignment w:val="auto"/>
        <w:rPr>
          <w:rFonts w:hint="eastAsia"/>
        </w:rPr>
      </w:pPr>
      <w:bookmarkStart w:id="39" w:name="_Toc185325626"/>
      <w:bookmarkStart w:id="40" w:name="_Toc8273"/>
      <w:r>
        <w:rPr>
          <w:rFonts w:hint="eastAsia"/>
        </w:rPr>
        <w:t>5 审核实施</w:t>
      </w:r>
      <w:bookmarkEnd w:id="39"/>
      <w:bookmarkEnd w:id="40"/>
    </w:p>
    <w:p>
      <w:pPr>
        <w:spacing w:line="360" w:lineRule="auto"/>
        <w:rPr>
          <w:rFonts w:ascii="宋体" w:hAnsi="宋体"/>
          <w:b/>
          <w:sz w:val="24"/>
        </w:rPr>
      </w:pPr>
      <w:r>
        <w:rPr>
          <w:rFonts w:hint="eastAsia" w:ascii="宋体" w:hAnsi="宋体"/>
          <w:b/>
          <w:sz w:val="24"/>
        </w:rPr>
        <w:t>5.1 审核准则</w:t>
      </w:r>
    </w:p>
    <w:p>
      <w:pPr>
        <w:spacing w:line="360" w:lineRule="auto"/>
        <w:ind w:firstLine="480" w:firstLineChars="200"/>
        <w:rPr>
          <w:rFonts w:ascii="宋体" w:hAnsi="宋体"/>
          <w:sz w:val="24"/>
        </w:rPr>
      </w:pPr>
      <w:r>
        <w:rPr>
          <w:rFonts w:hint="eastAsia" w:ascii="宋体" w:hAnsi="宋体"/>
          <w:sz w:val="24"/>
        </w:rPr>
        <w:t>认证双方确认的审核依据标准如下：</w:t>
      </w:r>
    </w:p>
    <w:p>
      <w:pPr>
        <w:spacing w:line="360" w:lineRule="auto"/>
        <w:ind w:firstLine="480" w:firstLineChars="200"/>
        <w:jc w:val="left"/>
        <w:rPr>
          <w:rFonts w:ascii="宋体" w:hAnsi="宋体"/>
          <w:sz w:val="24"/>
        </w:rPr>
      </w:pPr>
      <w:bookmarkStart w:id="41" w:name="BZZW"/>
      <w:r>
        <w:rPr>
          <w:rFonts w:ascii="宋体" w:hAnsi="宋体"/>
          <w:sz w:val="24"/>
        </w:rPr>
        <w:t>CQM/S-RZ-ZY-21-001</w:t>
      </w:r>
      <w:r>
        <w:rPr>
          <w:rFonts w:hint="eastAsia" w:ascii="宋体" w:hAnsi="宋体"/>
          <w:sz w:val="24"/>
        </w:rPr>
        <w:t>《数据安全风险管理</w:t>
      </w:r>
      <w:r>
        <w:rPr>
          <w:rFonts w:ascii="宋体" w:hAnsi="宋体"/>
          <w:sz w:val="24"/>
        </w:rPr>
        <w:t xml:space="preserve"> </w:t>
      </w:r>
      <w:r>
        <w:rPr>
          <w:rFonts w:hint="eastAsia" w:ascii="宋体" w:hAnsi="宋体"/>
          <w:sz w:val="24"/>
        </w:rPr>
        <w:t>要求》</w:t>
      </w:r>
      <w:bookmarkEnd w:id="41"/>
    </w:p>
    <w:p>
      <w:pPr>
        <w:spacing w:line="360" w:lineRule="auto"/>
        <w:ind w:firstLine="480" w:firstLineChars="200"/>
        <w:jc w:val="left"/>
        <w:rPr>
          <w:rFonts w:ascii="宋体" w:hAnsi="宋体"/>
          <w:sz w:val="24"/>
        </w:rPr>
      </w:pPr>
      <w:r>
        <w:rPr>
          <w:rFonts w:hint="eastAsia" w:ascii="宋体" w:hAnsi="宋体"/>
          <w:sz w:val="24"/>
        </w:rPr>
        <w:t>审核准则还包括受审核方所适用的方针、程序、标准、法律法规、数据安全风险管理相关要求、合同要求或行业规范。</w:t>
      </w:r>
    </w:p>
    <w:p>
      <w:pPr>
        <w:spacing w:line="360" w:lineRule="auto"/>
        <w:ind w:firstLine="480" w:firstLineChars="200"/>
        <w:jc w:val="left"/>
        <w:rPr>
          <w:rFonts w:ascii="宋体" w:hAnsi="宋体"/>
          <w:sz w:val="24"/>
        </w:rPr>
      </w:pPr>
      <w:r>
        <w:rPr>
          <w:rFonts w:hint="eastAsia" w:ascii="宋体" w:hAnsi="宋体" w:cs="宋体"/>
          <w:sz w:val="24"/>
        </w:rPr>
        <w:t>上述标准更新时，使用更新版本。</w:t>
      </w:r>
    </w:p>
    <w:p>
      <w:pPr>
        <w:spacing w:line="360" w:lineRule="auto"/>
        <w:rPr>
          <w:rFonts w:ascii="宋体" w:hAnsi="宋体"/>
          <w:b/>
          <w:sz w:val="24"/>
        </w:rPr>
      </w:pPr>
      <w:r>
        <w:rPr>
          <w:rFonts w:hint="eastAsia" w:ascii="宋体" w:hAnsi="宋体"/>
          <w:b/>
          <w:sz w:val="24"/>
        </w:rPr>
        <w:t>5.2 审核过程</w:t>
      </w:r>
    </w:p>
    <w:p>
      <w:pPr>
        <w:spacing w:line="360" w:lineRule="auto"/>
        <w:jc w:val="left"/>
        <w:rPr>
          <w:rFonts w:ascii="宋体" w:hAnsi="宋体"/>
          <w:bCs/>
          <w:sz w:val="24"/>
        </w:rPr>
      </w:pPr>
      <w:r>
        <w:rPr>
          <w:rFonts w:hint="eastAsia" w:ascii="宋体" w:hAnsi="宋体"/>
          <w:bCs/>
          <w:sz w:val="24"/>
        </w:rPr>
        <w:t>5.</w:t>
      </w:r>
      <w:r>
        <w:rPr>
          <w:rFonts w:ascii="宋体" w:hAnsi="宋体"/>
          <w:bCs/>
          <w:sz w:val="24"/>
        </w:rPr>
        <w:t>2.1</w:t>
      </w:r>
      <w:r>
        <w:rPr>
          <w:rFonts w:hint="eastAsia" w:ascii="宋体" w:hAnsi="宋体"/>
          <w:bCs/>
          <w:sz w:val="24"/>
        </w:rPr>
        <w:t xml:space="preserve"> 初次认证审核</w:t>
      </w:r>
    </w:p>
    <w:p>
      <w:pPr>
        <w:spacing w:line="360" w:lineRule="auto"/>
        <w:ind w:firstLine="480" w:firstLineChars="200"/>
        <w:jc w:val="left"/>
        <w:rPr>
          <w:rFonts w:ascii="宋体" w:hAnsi="宋体"/>
          <w:sz w:val="24"/>
        </w:rPr>
      </w:pPr>
      <w:r>
        <w:rPr>
          <w:rFonts w:hint="eastAsia" w:ascii="宋体" w:hAnsi="宋体"/>
          <w:sz w:val="24"/>
        </w:rPr>
        <w:t>初次认证审核目的是评价认证组织的数据安全风险管理实施情况，审核组通过收集客观证据，综合评价认证组织是否符合标准要求及相关要求，运行是否有效。</w:t>
      </w:r>
    </w:p>
    <w:p>
      <w:pPr>
        <w:spacing w:line="360" w:lineRule="auto"/>
        <w:ind w:firstLine="480" w:firstLineChars="200"/>
        <w:rPr>
          <w:rFonts w:ascii="宋体" w:hAnsi="宋体"/>
          <w:sz w:val="24"/>
        </w:rPr>
      </w:pPr>
      <w:r>
        <w:rPr>
          <w:rFonts w:hint="eastAsia" w:ascii="宋体" w:hAnsi="宋体"/>
          <w:sz w:val="24"/>
        </w:rPr>
        <w:t>初次认证审核具体关注：</w:t>
      </w:r>
    </w:p>
    <w:p>
      <w:pPr>
        <w:numPr>
          <w:ilvl w:val="0"/>
          <w:numId w:val="3"/>
        </w:numPr>
        <w:spacing w:line="360" w:lineRule="auto"/>
        <w:jc w:val="left"/>
        <w:rPr>
          <w:rFonts w:ascii="宋体" w:hAnsi="宋体"/>
          <w:sz w:val="24"/>
        </w:rPr>
      </w:pPr>
      <w:r>
        <w:rPr>
          <w:rFonts w:hint="eastAsia" w:ascii="宋体" w:hAnsi="宋体"/>
          <w:sz w:val="24"/>
        </w:rPr>
        <w:t>受审核方规定的数据安全风险管理过程的有效性和控制方法；</w:t>
      </w:r>
    </w:p>
    <w:p>
      <w:pPr>
        <w:numPr>
          <w:ilvl w:val="0"/>
          <w:numId w:val="3"/>
        </w:numPr>
        <w:spacing w:line="360" w:lineRule="auto"/>
        <w:jc w:val="left"/>
        <w:rPr>
          <w:rFonts w:ascii="宋体" w:hAnsi="宋体"/>
          <w:sz w:val="24"/>
        </w:rPr>
      </w:pPr>
      <w:r>
        <w:rPr>
          <w:rFonts w:hint="eastAsia" w:ascii="宋体" w:hAnsi="宋体"/>
          <w:sz w:val="24"/>
        </w:rPr>
        <w:t>自我评估和自我改进实施情况等。</w:t>
      </w:r>
    </w:p>
    <w:p>
      <w:pPr>
        <w:spacing w:line="360" w:lineRule="auto"/>
        <w:jc w:val="left"/>
        <w:rPr>
          <w:rFonts w:ascii="宋体" w:hAnsi="宋体"/>
          <w:bCs/>
          <w:sz w:val="24"/>
        </w:rPr>
      </w:pPr>
      <w:r>
        <w:rPr>
          <w:rFonts w:hint="eastAsia" w:ascii="宋体" w:hAnsi="宋体"/>
          <w:bCs/>
          <w:sz w:val="24"/>
        </w:rPr>
        <w:t>5.</w:t>
      </w:r>
      <w:r>
        <w:rPr>
          <w:rFonts w:ascii="宋体" w:hAnsi="宋体"/>
          <w:bCs/>
          <w:sz w:val="24"/>
        </w:rPr>
        <w:t>2.2</w:t>
      </w:r>
      <w:r>
        <w:rPr>
          <w:rFonts w:hint="eastAsia" w:ascii="宋体" w:hAnsi="宋体"/>
          <w:bCs/>
          <w:sz w:val="24"/>
        </w:rPr>
        <w:t xml:space="preserve"> 监督活动</w:t>
      </w:r>
    </w:p>
    <w:p>
      <w:pPr>
        <w:spacing w:line="360" w:lineRule="auto"/>
        <w:rPr>
          <w:rFonts w:ascii="宋体" w:hAnsi="宋体"/>
          <w:bCs/>
          <w:sz w:val="24"/>
        </w:rPr>
      </w:pPr>
      <w:bookmarkStart w:id="42" w:name="_Toc85103642"/>
      <w:bookmarkStart w:id="43" w:name="_Toc85256268"/>
      <w:bookmarkStart w:id="44" w:name="_Toc85105532"/>
      <w:r>
        <w:rPr>
          <w:rFonts w:hint="eastAsia" w:ascii="宋体" w:hAnsi="宋体"/>
          <w:bCs/>
          <w:sz w:val="24"/>
        </w:rPr>
        <w:t>5.</w:t>
      </w:r>
      <w:r>
        <w:rPr>
          <w:rFonts w:ascii="宋体" w:hAnsi="宋体"/>
          <w:bCs/>
          <w:sz w:val="24"/>
        </w:rPr>
        <w:t>2.2</w:t>
      </w:r>
      <w:r>
        <w:rPr>
          <w:rFonts w:hint="eastAsia" w:ascii="宋体" w:hAnsi="宋体"/>
          <w:bCs/>
          <w:sz w:val="24"/>
        </w:rPr>
        <w:t>.1 监督活动的方式</w:t>
      </w:r>
      <w:bookmarkEnd w:id="42"/>
      <w:bookmarkEnd w:id="43"/>
      <w:bookmarkEnd w:id="44"/>
    </w:p>
    <w:p>
      <w:pPr>
        <w:spacing w:line="360" w:lineRule="auto"/>
        <w:ind w:firstLine="480" w:firstLineChars="200"/>
        <w:rPr>
          <w:rFonts w:ascii="宋体" w:hAnsi="宋体"/>
          <w:bCs/>
          <w:sz w:val="24"/>
        </w:rPr>
      </w:pPr>
      <w:r>
        <w:rPr>
          <w:rFonts w:hint="eastAsia" w:ascii="宋体" w:hAnsi="宋体"/>
          <w:bCs/>
          <w:sz w:val="24"/>
        </w:rPr>
        <w:t>监督活动包括监督审核与日常监控。监督审核的主要内容：</w:t>
      </w:r>
    </w:p>
    <w:p>
      <w:pPr>
        <w:numPr>
          <w:ilvl w:val="0"/>
          <w:numId w:val="4"/>
        </w:numPr>
        <w:spacing w:line="360" w:lineRule="auto"/>
        <w:jc w:val="left"/>
        <w:rPr>
          <w:rFonts w:ascii="宋体" w:hAnsi="宋体"/>
          <w:sz w:val="24"/>
        </w:rPr>
      </w:pPr>
      <w:r>
        <w:rPr>
          <w:rFonts w:hint="eastAsia" w:ascii="宋体" w:hAnsi="宋体"/>
          <w:sz w:val="24"/>
        </w:rPr>
        <w:t>自上次审核以来与组织数据安全风险管理有关的重要变更（如资源、过程、组织结构、已识别的关键控制点等）；</w:t>
      </w:r>
    </w:p>
    <w:p>
      <w:pPr>
        <w:numPr>
          <w:ilvl w:val="0"/>
          <w:numId w:val="4"/>
        </w:numPr>
        <w:spacing w:line="360" w:lineRule="auto"/>
        <w:jc w:val="left"/>
        <w:rPr>
          <w:rFonts w:ascii="宋体" w:hAnsi="宋体"/>
          <w:sz w:val="24"/>
        </w:rPr>
      </w:pPr>
      <w:r>
        <w:rPr>
          <w:rFonts w:hint="eastAsia" w:ascii="宋体" w:hAnsi="宋体"/>
          <w:sz w:val="24"/>
        </w:rPr>
        <w:t>持续的运作控制数据安全管理目标的实现情况；</w:t>
      </w:r>
    </w:p>
    <w:p>
      <w:pPr>
        <w:numPr>
          <w:ilvl w:val="0"/>
          <w:numId w:val="4"/>
        </w:numPr>
        <w:spacing w:line="360" w:lineRule="auto"/>
        <w:jc w:val="left"/>
        <w:rPr>
          <w:rFonts w:ascii="宋体" w:hAnsi="宋体"/>
          <w:sz w:val="24"/>
        </w:rPr>
      </w:pPr>
      <w:r>
        <w:rPr>
          <w:rFonts w:hint="eastAsia" w:ascii="宋体" w:hAnsi="宋体"/>
          <w:sz w:val="24"/>
        </w:rPr>
        <w:t>对上次审核中提出问题的改进情况的验证；</w:t>
      </w:r>
    </w:p>
    <w:p>
      <w:pPr>
        <w:numPr>
          <w:ilvl w:val="0"/>
          <w:numId w:val="4"/>
        </w:numPr>
        <w:spacing w:line="360" w:lineRule="auto"/>
        <w:jc w:val="left"/>
        <w:rPr>
          <w:rFonts w:ascii="宋体" w:hAnsi="宋体"/>
          <w:sz w:val="24"/>
        </w:rPr>
      </w:pPr>
      <w:r>
        <w:rPr>
          <w:rFonts w:hint="eastAsia" w:ascii="宋体" w:hAnsi="宋体"/>
          <w:sz w:val="24"/>
        </w:rPr>
        <w:t>自我评估和自我改进实施情况等。</w:t>
      </w:r>
    </w:p>
    <w:p>
      <w:pPr>
        <w:spacing w:line="360" w:lineRule="auto"/>
        <w:rPr>
          <w:rFonts w:ascii="宋体" w:hAnsi="宋体"/>
          <w:bCs/>
          <w:sz w:val="24"/>
        </w:rPr>
      </w:pPr>
      <w:bookmarkStart w:id="45" w:name="_Toc33600388"/>
      <w:bookmarkStart w:id="46" w:name="_Toc33599725"/>
      <w:bookmarkStart w:id="47" w:name="_Toc33599598"/>
      <w:bookmarkStart w:id="48" w:name="_Toc33600432"/>
      <w:bookmarkStart w:id="49" w:name="_Toc85105531"/>
      <w:bookmarkStart w:id="50" w:name="_Toc85103641"/>
      <w:bookmarkStart w:id="51" w:name="_Toc85256267"/>
      <w:r>
        <w:rPr>
          <w:rFonts w:hint="eastAsia" w:ascii="宋体" w:hAnsi="宋体"/>
          <w:bCs/>
          <w:sz w:val="24"/>
        </w:rPr>
        <w:t>5.</w:t>
      </w:r>
      <w:r>
        <w:rPr>
          <w:rFonts w:ascii="宋体" w:hAnsi="宋体"/>
          <w:bCs/>
          <w:sz w:val="24"/>
        </w:rPr>
        <w:t>2</w:t>
      </w:r>
      <w:r>
        <w:rPr>
          <w:rFonts w:hint="eastAsia" w:ascii="宋体" w:hAnsi="宋体"/>
          <w:bCs/>
          <w:sz w:val="24"/>
        </w:rPr>
        <w:t>.2</w:t>
      </w:r>
      <w:r>
        <w:rPr>
          <w:rFonts w:ascii="宋体" w:hAnsi="宋体"/>
          <w:bCs/>
          <w:sz w:val="24"/>
        </w:rPr>
        <w:t>.</w:t>
      </w:r>
      <w:r>
        <w:rPr>
          <w:rFonts w:hint="eastAsia" w:ascii="宋体" w:hAnsi="宋体"/>
          <w:bCs/>
          <w:sz w:val="24"/>
        </w:rPr>
        <w:t>3 监督审核的频次</w:t>
      </w:r>
      <w:bookmarkEnd w:id="45"/>
      <w:bookmarkEnd w:id="46"/>
      <w:bookmarkEnd w:id="47"/>
      <w:bookmarkEnd w:id="48"/>
      <w:bookmarkEnd w:id="49"/>
      <w:bookmarkEnd w:id="50"/>
      <w:bookmarkEnd w:id="51"/>
    </w:p>
    <w:p>
      <w:pPr>
        <w:spacing w:line="360" w:lineRule="auto"/>
        <w:ind w:left="-1" w:leftChars="-1" w:hanging="1"/>
        <w:rPr>
          <w:rFonts w:ascii="宋体" w:hAnsi="宋体" w:cs="宋体"/>
          <w:kern w:val="0"/>
          <w:sz w:val="24"/>
        </w:rPr>
      </w:pPr>
      <w:r>
        <w:rPr>
          <w:rFonts w:hint="eastAsia" w:ascii="宋体" w:hAnsi="宋体"/>
          <w:sz w:val="24"/>
        </w:rPr>
        <w:t xml:space="preserve">    在证书有效期内，获证客户须接受监督审核，监督审核应至少每个日历年（应进行再认证的年份除外）进行一次。初审/再认证后的第一次监督审核应在认证决定日期起</w:t>
      </w:r>
      <w:r>
        <w:rPr>
          <w:rFonts w:ascii="宋体" w:hAnsi="宋体" w:cs="Arial"/>
          <w:sz w:val="24"/>
        </w:rPr>
        <w:t>12</w:t>
      </w:r>
      <w:r>
        <w:rPr>
          <w:rFonts w:hint="eastAsia" w:ascii="宋体" w:hAnsi="宋体"/>
          <w:sz w:val="24"/>
        </w:rPr>
        <w:t>个月内进行；</w:t>
      </w:r>
      <w:r>
        <w:rPr>
          <w:rFonts w:hint="eastAsia" w:ascii="宋体" w:hAnsi="宋体" w:cs="宋体"/>
          <w:kern w:val="0"/>
          <w:sz w:val="24"/>
        </w:rPr>
        <w:t>此后，监督审核应至少每个日历年（应进行再认证的年份除外）进行一次，且两次监督审核的时间间隔不得超过15个月。</w:t>
      </w:r>
    </w:p>
    <w:p>
      <w:pPr>
        <w:spacing w:line="360" w:lineRule="auto"/>
        <w:ind w:left="-2" w:leftChars="-1" w:firstLine="480" w:firstLineChars="200"/>
        <w:rPr>
          <w:rFonts w:ascii="宋体" w:hAnsi="宋体"/>
          <w:sz w:val="24"/>
        </w:rPr>
      </w:pPr>
      <w:r>
        <w:rPr>
          <w:rFonts w:hint="eastAsia" w:ascii="宋体" w:hAnsi="宋体"/>
          <w:sz w:val="24"/>
        </w:rPr>
        <w:t>获证客户因未在规定的时间内实施监督审核而暂停认证证书的，监督审核恢复后，下次审核时间应按原计划时间计算。</w:t>
      </w:r>
    </w:p>
    <w:p>
      <w:pPr>
        <w:spacing w:line="360" w:lineRule="auto"/>
        <w:jc w:val="left"/>
        <w:rPr>
          <w:rFonts w:ascii="宋体" w:hAnsi="宋体"/>
          <w:bCs/>
          <w:sz w:val="24"/>
        </w:rPr>
      </w:pPr>
      <w:r>
        <w:rPr>
          <w:rFonts w:hint="eastAsia" w:ascii="宋体" w:hAnsi="宋体"/>
          <w:bCs/>
          <w:sz w:val="24"/>
        </w:rPr>
        <w:t>5.</w:t>
      </w:r>
      <w:r>
        <w:rPr>
          <w:rFonts w:ascii="宋体" w:hAnsi="宋体"/>
          <w:bCs/>
          <w:sz w:val="24"/>
        </w:rPr>
        <w:t>2.3</w:t>
      </w:r>
      <w:r>
        <w:rPr>
          <w:rFonts w:hint="eastAsia" w:ascii="宋体" w:hAnsi="宋体"/>
          <w:bCs/>
          <w:sz w:val="24"/>
        </w:rPr>
        <w:t xml:space="preserve"> 再认证</w:t>
      </w:r>
    </w:p>
    <w:p>
      <w:pPr>
        <w:spacing w:line="360" w:lineRule="auto"/>
        <w:ind w:firstLine="480" w:firstLineChars="200"/>
        <w:rPr>
          <w:rFonts w:ascii="宋体" w:hAnsi="宋体"/>
          <w:bCs/>
          <w:sz w:val="24"/>
        </w:rPr>
      </w:pPr>
      <w:r>
        <w:rPr>
          <w:rFonts w:hint="eastAsia" w:ascii="宋体" w:hAnsi="宋体"/>
          <w:bCs/>
          <w:sz w:val="24"/>
        </w:rPr>
        <w:t>再认证审核的主要内容：</w:t>
      </w:r>
    </w:p>
    <w:p>
      <w:pPr>
        <w:numPr>
          <w:ilvl w:val="0"/>
          <w:numId w:val="5"/>
        </w:numPr>
        <w:spacing w:line="360" w:lineRule="auto"/>
        <w:jc w:val="left"/>
        <w:rPr>
          <w:rFonts w:ascii="宋体" w:hAnsi="宋体"/>
          <w:sz w:val="24"/>
        </w:rPr>
      </w:pPr>
      <w:r>
        <w:rPr>
          <w:rFonts w:hint="eastAsia" w:ascii="宋体" w:hAnsi="宋体"/>
          <w:sz w:val="24"/>
        </w:rPr>
        <w:t>上一认证周期组织数据安全风险管理的持续有效性；</w:t>
      </w:r>
    </w:p>
    <w:p>
      <w:pPr>
        <w:numPr>
          <w:ilvl w:val="0"/>
          <w:numId w:val="5"/>
        </w:numPr>
        <w:spacing w:line="360" w:lineRule="auto"/>
        <w:jc w:val="left"/>
        <w:rPr>
          <w:rFonts w:ascii="宋体" w:hAnsi="宋体"/>
          <w:sz w:val="24"/>
        </w:rPr>
      </w:pPr>
      <w:r>
        <w:rPr>
          <w:rFonts w:hint="eastAsia" w:ascii="宋体" w:hAnsi="宋体"/>
          <w:sz w:val="24"/>
        </w:rPr>
        <w:t>数据安全风险管理有关的重要变更对数据安全风险管理的影响；</w:t>
      </w:r>
    </w:p>
    <w:p>
      <w:pPr>
        <w:numPr>
          <w:ilvl w:val="0"/>
          <w:numId w:val="5"/>
        </w:numPr>
        <w:spacing w:line="360" w:lineRule="auto"/>
        <w:jc w:val="left"/>
        <w:rPr>
          <w:rFonts w:ascii="宋体" w:hAnsi="宋体"/>
          <w:sz w:val="24"/>
        </w:rPr>
      </w:pPr>
      <w:r>
        <w:rPr>
          <w:rFonts w:hint="eastAsia" w:ascii="宋体" w:hAnsi="宋体"/>
          <w:sz w:val="24"/>
        </w:rPr>
        <w:t>数据安全风险管理目标的实现情况；</w:t>
      </w:r>
    </w:p>
    <w:p>
      <w:pPr>
        <w:numPr>
          <w:ilvl w:val="0"/>
          <w:numId w:val="5"/>
        </w:numPr>
        <w:spacing w:line="360" w:lineRule="auto"/>
        <w:jc w:val="left"/>
        <w:rPr>
          <w:rFonts w:ascii="宋体" w:hAnsi="宋体"/>
          <w:sz w:val="24"/>
        </w:rPr>
      </w:pPr>
      <w:r>
        <w:rPr>
          <w:rFonts w:hint="eastAsia" w:ascii="宋体" w:hAnsi="宋体"/>
          <w:sz w:val="24"/>
        </w:rPr>
        <w:t>对上次审核中提出问题的改进情况的验证；</w:t>
      </w:r>
    </w:p>
    <w:p>
      <w:pPr>
        <w:pStyle w:val="7"/>
        <w:spacing w:line="360" w:lineRule="auto"/>
        <w:ind w:firstLine="480"/>
        <w:rPr>
          <w:lang w:val="en-GB"/>
        </w:rPr>
      </w:pPr>
      <w:r>
        <w:rPr>
          <w:rFonts w:hint="eastAsia"/>
          <w:sz w:val="24"/>
        </w:rPr>
        <w:t>自我评估和自我改进实施情况等。</w:t>
      </w:r>
    </w:p>
    <w:p>
      <w:pPr>
        <w:spacing w:line="360" w:lineRule="auto"/>
        <w:rPr>
          <w:rFonts w:ascii="宋体" w:hAnsi="宋体"/>
          <w:b/>
          <w:sz w:val="24"/>
        </w:rPr>
      </w:pPr>
      <w:r>
        <w:rPr>
          <w:rFonts w:hint="eastAsia" w:ascii="宋体" w:hAnsi="宋体"/>
          <w:b/>
          <w:sz w:val="24"/>
        </w:rPr>
        <w:t>5.3 现场审核活动实施</w:t>
      </w:r>
    </w:p>
    <w:p>
      <w:pPr>
        <w:spacing w:line="360" w:lineRule="auto"/>
        <w:ind w:firstLine="480"/>
        <w:jc w:val="left"/>
        <w:rPr>
          <w:rFonts w:ascii="宋体" w:hAnsi="宋体"/>
          <w:sz w:val="24"/>
        </w:rPr>
      </w:pPr>
      <w:r>
        <w:rPr>
          <w:rFonts w:hint="eastAsia" w:ascii="宋体" w:hAnsi="宋体"/>
          <w:sz w:val="24"/>
        </w:rPr>
        <w:t>审核组在现场审核前与受审核方沟通，确认审核安排，说明首末次会议议程。</w:t>
      </w:r>
    </w:p>
    <w:p>
      <w:pPr>
        <w:spacing w:line="360" w:lineRule="auto"/>
        <w:ind w:firstLine="480"/>
        <w:jc w:val="left"/>
        <w:rPr>
          <w:rFonts w:ascii="宋体" w:hAnsi="宋体"/>
          <w:sz w:val="24"/>
        </w:rPr>
      </w:pPr>
      <w:r>
        <w:rPr>
          <w:rFonts w:hint="eastAsia" w:ascii="宋体" w:hAnsi="宋体"/>
          <w:sz w:val="24"/>
        </w:rPr>
        <w:t>审核组按照审核计划中日程安排实施审核，通过查阅受审核方的文件和记录、与过程和活动的岗位人员面谈、座谈、观察产品、服务形成过程和活动等适当方法，抽样收集并验证有关的信息，形成审核发现，确认不符合情况。</w:t>
      </w:r>
    </w:p>
    <w:p>
      <w:pPr>
        <w:spacing w:line="360" w:lineRule="auto"/>
        <w:ind w:firstLine="480"/>
        <w:jc w:val="left"/>
        <w:rPr>
          <w:rFonts w:ascii="宋体" w:hAnsi="宋体"/>
          <w:sz w:val="24"/>
        </w:rPr>
      </w:pPr>
      <w:r>
        <w:rPr>
          <w:rFonts w:hint="eastAsia" w:ascii="宋体" w:hAnsi="宋体"/>
          <w:sz w:val="24"/>
        </w:rPr>
        <w:t>在审核过程中，审核组及时与受审核方沟通，通报审核进程，确认审核证据，解决分歧。当审核发现表明不能达到审核目的时，应说明理由，商定后续措施。如果需要改变审核目的和范围或终止审核时，应经审核派出机构评审和批准后实施。</w:t>
      </w:r>
    </w:p>
    <w:p>
      <w:pPr>
        <w:spacing w:line="360" w:lineRule="auto"/>
        <w:ind w:firstLine="480"/>
        <w:jc w:val="left"/>
        <w:rPr>
          <w:rFonts w:ascii="宋体" w:hAnsi="宋体"/>
          <w:sz w:val="24"/>
        </w:rPr>
      </w:pPr>
      <w:r>
        <w:rPr>
          <w:rFonts w:hint="eastAsia" w:ascii="宋体" w:hAnsi="宋体"/>
          <w:sz w:val="24"/>
        </w:rPr>
        <w:t>审核组长在现场审核结束前，与受审核方沟通现场审核的信息，审核组编制审核报告并提交受审核方。</w:t>
      </w:r>
    </w:p>
    <w:p>
      <w:pPr>
        <w:spacing w:line="360" w:lineRule="auto"/>
        <w:ind w:firstLine="480"/>
        <w:jc w:val="left"/>
        <w:rPr>
          <w:rFonts w:ascii="宋体" w:hAnsi="宋体"/>
          <w:sz w:val="24"/>
        </w:rPr>
      </w:pPr>
      <w:r>
        <w:rPr>
          <w:rFonts w:hint="eastAsia" w:ascii="宋体" w:hAnsi="宋体"/>
          <w:sz w:val="24"/>
        </w:rPr>
        <w:t>审核报告属CQM所有，如果在审核后续活动中（含CQM进行认证决定期间）有所更改，CQM将重新向受审核方提供审核报告。请受审核方妥善保管审核报告等相应材料。</w:t>
      </w:r>
    </w:p>
    <w:p>
      <w:pPr>
        <w:pStyle w:val="2"/>
        <w:keepNext/>
        <w:keepLines/>
        <w:pageBreakBefore w:val="0"/>
        <w:widowControl w:val="0"/>
        <w:kinsoku/>
        <w:wordWrap/>
        <w:overflowPunct/>
        <w:topLinePunct w:val="0"/>
        <w:autoSpaceDE/>
        <w:autoSpaceDN/>
        <w:bidi w:val="0"/>
        <w:adjustRightInd/>
        <w:snapToGrid w:val="0"/>
        <w:spacing w:before="313" w:beforeLines="100" w:after="313" w:afterLines="100" w:line="240" w:lineRule="auto"/>
        <w:textAlignment w:val="auto"/>
        <w:rPr>
          <w:rFonts w:hint="eastAsia"/>
        </w:rPr>
      </w:pPr>
      <w:bookmarkStart w:id="52" w:name="_Toc85256251"/>
      <w:bookmarkStart w:id="53" w:name="_Toc85105515"/>
      <w:bookmarkStart w:id="54" w:name="_Toc85103626"/>
      <w:bookmarkStart w:id="55" w:name="_Toc185325630"/>
      <w:bookmarkStart w:id="56" w:name="_Toc16065"/>
      <w:bookmarkStart w:id="57" w:name="_Toc33599706"/>
      <w:bookmarkStart w:id="58" w:name="_Toc33600364"/>
      <w:bookmarkStart w:id="59" w:name="_Toc33598533"/>
      <w:bookmarkStart w:id="60" w:name="_Toc33600413"/>
      <w:bookmarkStart w:id="61" w:name="_Toc33598964"/>
      <w:bookmarkStart w:id="62" w:name="_Toc33599579"/>
      <w:bookmarkStart w:id="63" w:name="_Toc33598904"/>
      <w:r>
        <w:rPr>
          <w:rFonts w:hint="eastAsia"/>
        </w:rPr>
        <w:t>6 认证的批准、拒绝、保持、扩大、缩小、暂停、恢复和撤销的条件</w:t>
      </w:r>
      <w:bookmarkEnd w:id="52"/>
      <w:bookmarkEnd w:id="53"/>
      <w:bookmarkEnd w:id="54"/>
      <w:r>
        <w:rPr>
          <w:rFonts w:hint="eastAsia"/>
        </w:rPr>
        <w:t>和程序</w:t>
      </w:r>
      <w:bookmarkEnd w:id="55"/>
      <w:bookmarkEnd w:id="56"/>
    </w:p>
    <w:p>
      <w:pPr>
        <w:spacing w:line="360" w:lineRule="auto"/>
        <w:rPr>
          <w:rFonts w:ascii="宋体" w:hAnsi="宋体"/>
          <w:b/>
          <w:sz w:val="24"/>
        </w:rPr>
      </w:pPr>
      <w:r>
        <w:rPr>
          <w:rFonts w:hint="eastAsia" w:ascii="宋体" w:hAnsi="宋体"/>
          <w:b/>
          <w:sz w:val="24"/>
        </w:rPr>
        <w:t>6.1</w:t>
      </w:r>
      <w:r>
        <w:rPr>
          <w:rFonts w:hint="eastAsia" w:ascii="宋体" w:hAnsi="宋体"/>
          <w:b/>
          <w:color w:val="000000"/>
          <w:sz w:val="24"/>
        </w:rPr>
        <w:t>批准认证范围的条件和程序</w:t>
      </w:r>
    </w:p>
    <w:p>
      <w:pPr>
        <w:spacing w:line="360" w:lineRule="auto"/>
        <w:rPr>
          <w:rFonts w:ascii="宋体" w:hAnsi="宋体"/>
          <w:bCs/>
          <w:color w:val="000000"/>
          <w:sz w:val="24"/>
        </w:rPr>
      </w:pPr>
      <w:r>
        <w:rPr>
          <w:rFonts w:hint="eastAsia" w:ascii="宋体" w:hAnsi="宋体"/>
          <w:bCs/>
          <w:color w:val="000000"/>
          <w:sz w:val="24"/>
        </w:rPr>
        <w:t>6.1.1 批准认证注册的条件</w:t>
      </w:r>
    </w:p>
    <w:p>
      <w:pPr>
        <w:numPr>
          <w:ilvl w:val="0"/>
          <w:numId w:val="6"/>
        </w:numPr>
        <w:adjustRightInd w:val="0"/>
        <w:snapToGrid w:val="0"/>
        <w:spacing w:line="360" w:lineRule="auto"/>
        <w:ind w:left="714" w:hanging="357"/>
        <w:rPr>
          <w:rFonts w:ascii="宋体" w:hAnsi="宋体"/>
          <w:sz w:val="24"/>
        </w:rPr>
      </w:pPr>
      <w:r>
        <w:rPr>
          <w:rFonts w:hint="eastAsia" w:ascii="宋体" w:hAnsi="宋体"/>
          <w:sz w:val="24"/>
        </w:rPr>
        <w:t>认证客户的申请材料真实、准确、有效；</w:t>
      </w:r>
    </w:p>
    <w:p>
      <w:pPr>
        <w:numPr>
          <w:ilvl w:val="0"/>
          <w:numId w:val="6"/>
        </w:numPr>
        <w:adjustRightInd w:val="0"/>
        <w:spacing w:line="360" w:lineRule="auto"/>
        <w:ind w:left="714" w:hanging="357"/>
        <w:rPr>
          <w:rFonts w:ascii="宋体" w:hAnsi="宋体"/>
          <w:sz w:val="24"/>
        </w:rPr>
      </w:pPr>
      <w:r>
        <w:rPr>
          <w:rFonts w:hint="eastAsia" w:ascii="宋体" w:hAnsi="宋体"/>
          <w:sz w:val="24"/>
        </w:rPr>
        <w:t>认证客户申请认证范围在法律地位文件和资质规定的范围内；认证客户在认证申请范围覆盖的经营活动不存在重大风险；</w:t>
      </w:r>
    </w:p>
    <w:p>
      <w:pPr>
        <w:numPr>
          <w:ilvl w:val="0"/>
          <w:numId w:val="6"/>
        </w:numPr>
        <w:adjustRightInd w:val="0"/>
        <w:snapToGrid w:val="0"/>
        <w:spacing w:line="360" w:lineRule="auto"/>
        <w:ind w:left="714" w:hanging="357"/>
        <w:rPr>
          <w:rFonts w:ascii="宋体" w:hAnsi="宋体"/>
          <w:sz w:val="24"/>
        </w:rPr>
      </w:pPr>
      <w:r>
        <w:rPr>
          <w:rFonts w:hint="eastAsia" w:ascii="宋体" w:hAnsi="宋体"/>
          <w:sz w:val="24"/>
        </w:rPr>
        <w:t>国家或地方或行业有要求时，认证客户申请认证范围内的组织单元、产品、服务及其过程和活动已满足适用的法律法规的要求；</w:t>
      </w:r>
    </w:p>
    <w:p>
      <w:pPr>
        <w:numPr>
          <w:ilvl w:val="0"/>
          <w:numId w:val="6"/>
        </w:numPr>
        <w:adjustRightInd w:val="0"/>
        <w:snapToGrid w:val="0"/>
        <w:spacing w:line="360" w:lineRule="auto"/>
        <w:ind w:left="714" w:hanging="357"/>
        <w:rPr>
          <w:rFonts w:ascii="宋体" w:hAnsi="宋体"/>
          <w:sz w:val="24"/>
        </w:rPr>
      </w:pPr>
      <w:r>
        <w:rPr>
          <w:rFonts w:hint="eastAsia" w:ascii="宋体" w:hAnsi="宋体"/>
          <w:sz w:val="24"/>
        </w:rPr>
        <w:t>审核中发现的不合格在规定期限内已经采取纠正</w:t>
      </w:r>
      <w:r>
        <w:rPr>
          <w:rFonts w:ascii="宋体" w:hAnsi="宋体"/>
          <w:sz w:val="24"/>
        </w:rPr>
        <w:t>/</w:t>
      </w:r>
      <w:r>
        <w:rPr>
          <w:rFonts w:hint="eastAsia" w:ascii="宋体" w:hAnsi="宋体"/>
          <w:sz w:val="24"/>
        </w:rPr>
        <w:t>纠正措施，经CQM验证有效。</w:t>
      </w:r>
    </w:p>
    <w:p>
      <w:pPr>
        <w:numPr>
          <w:ilvl w:val="0"/>
          <w:numId w:val="6"/>
        </w:numPr>
        <w:adjustRightInd w:val="0"/>
        <w:snapToGrid w:val="0"/>
        <w:spacing w:line="360" w:lineRule="auto"/>
        <w:ind w:left="714" w:hanging="357"/>
        <w:rPr>
          <w:rFonts w:ascii="宋体" w:hAnsi="宋体"/>
          <w:sz w:val="24"/>
        </w:rPr>
      </w:pPr>
      <w:r>
        <w:rPr>
          <w:rFonts w:hint="eastAsia" w:ascii="宋体" w:hAnsi="宋体"/>
          <w:sz w:val="24"/>
        </w:rPr>
        <w:t>至少近一年来，认证客户申请认证范围内未发生失信行为或国家检查不合格；</w:t>
      </w:r>
    </w:p>
    <w:p>
      <w:pPr>
        <w:numPr>
          <w:ilvl w:val="0"/>
          <w:numId w:val="6"/>
        </w:numPr>
        <w:adjustRightInd w:val="0"/>
        <w:snapToGrid w:val="0"/>
        <w:spacing w:line="360" w:lineRule="auto"/>
        <w:rPr>
          <w:rFonts w:ascii="宋体" w:hAnsi="宋体"/>
          <w:sz w:val="24"/>
        </w:rPr>
      </w:pPr>
      <w:r>
        <w:rPr>
          <w:rFonts w:hint="eastAsia" w:ascii="宋体" w:hAnsi="宋体"/>
          <w:sz w:val="24"/>
        </w:rPr>
        <w:t>认证客户已与方圆签署认证合同，承诺始终遵守认证的有关规定，并按照认证合同规定缴纳认证费用。</w:t>
      </w:r>
    </w:p>
    <w:p>
      <w:pPr>
        <w:spacing w:line="360" w:lineRule="auto"/>
        <w:rPr>
          <w:rFonts w:ascii="宋体" w:hAnsi="宋体"/>
          <w:bCs/>
          <w:sz w:val="24"/>
        </w:rPr>
      </w:pPr>
      <w:bookmarkStart w:id="64" w:name="_Toc85103628"/>
      <w:bookmarkStart w:id="65" w:name="_Toc85256253"/>
      <w:bookmarkStart w:id="66" w:name="_Toc85105517"/>
      <w:r>
        <w:rPr>
          <w:rFonts w:hint="eastAsia" w:ascii="宋体" w:hAnsi="宋体"/>
          <w:bCs/>
          <w:sz w:val="24"/>
        </w:rPr>
        <w:t>6.1.2 批准认证</w:t>
      </w:r>
      <w:bookmarkEnd w:id="64"/>
      <w:bookmarkEnd w:id="65"/>
      <w:bookmarkEnd w:id="66"/>
      <w:r>
        <w:rPr>
          <w:rFonts w:hint="eastAsia" w:ascii="宋体" w:hAnsi="宋体"/>
          <w:bCs/>
          <w:sz w:val="24"/>
        </w:rPr>
        <w:t>资格的程序</w:t>
      </w:r>
    </w:p>
    <w:p>
      <w:pPr>
        <w:numPr>
          <w:ilvl w:val="0"/>
          <w:numId w:val="7"/>
        </w:numPr>
        <w:tabs>
          <w:tab w:val="left" w:pos="180"/>
          <w:tab w:val="left" w:pos="360"/>
          <w:tab w:val="left" w:pos="540"/>
          <w:tab w:val="left" w:pos="720"/>
          <w:tab w:val="left" w:pos="900"/>
          <w:tab w:val="clear" w:pos="719"/>
        </w:tabs>
        <w:spacing w:line="360" w:lineRule="auto"/>
        <w:rPr>
          <w:rFonts w:ascii="宋体" w:hAnsi="宋体"/>
          <w:sz w:val="24"/>
        </w:rPr>
      </w:pPr>
      <w:r>
        <w:rPr>
          <w:rFonts w:hint="eastAsia" w:ascii="宋体" w:hAnsi="宋体"/>
          <w:sz w:val="24"/>
        </w:rPr>
        <w:t>CQM向认证客户提供认证有关信息的公开文件，使其知悉并理解；</w:t>
      </w:r>
    </w:p>
    <w:p>
      <w:pPr>
        <w:numPr>
          <w:ilvl w:val="0"/>
          <w:numId w:val="7"/>
        </w:numPr>
        <w:tabs>
          <w:tab w:val="left" w:pos="180"/>
          <w:tab w:val="left" w:pos="360"/>
          <w:tab w:val="left" w:pos="540"/>
          <w:tab w:val="left" w:pos="720"/>
          <w:tab w:val="left" w:pos="900"/>
          <w:tab w:val="clear" w:pos="719"/>
        </w:tabs>
        <w:spacing w:line="360" w:lineRule="auto"/>
        <w:rPr>
          <w:rFonts w:ascii="宋体" w:hAnsi="宋体"/>
          <w:sz w:val="24"/>
        </w:rPr>
      </w:pPr>
      <w:r>
        <w:rPr>
          <w:rFonts w:hint="eastAsia" w:ascii="宋体" w:hAnsi="宋体"/>
          <w:sz w:val="24"/>
        </w:rPr>
        <w:t>认证客户向CQM正式提交认证申请书和相关附件；</w:t>
      </w:r>
    </w:p>
    <w:p>
      <w:pPr>
        <w:numPr>
          <w:ilvl w:val="0"/>
          <w:numId w:val="7"/>
        </w:numPr>
        <w:tabs>
          <w:tab w:val="left" w:pos="180"/>
          <w:tab w:val="left" w:pos="360"/>
          <w:tab w:val="left" w:pos="540"/>
          <w:tab w:val="left" w:pos="720"/>
          <w:tab w:val="left" w:pos="900"/>
          <w:tab w:val="clear" w:pos="719"/>
        </w:tabs>
        <w:spacing w:line="360" w:lineRule="auto"/>
        <w:rPr>
          <w:rFonts w:ascii="宋体" w:hAnsi="宋体"/>
          <w:sz w:val="24"/>
        </w:rPr>
      </w:pPr>
      <w:r>
        <w:rPr>
          <w:rFonts w:hint="eastAsia" w:ascii="宋体" w:hAnsi="宋体" w:cs="宋体"/>
          <w:sz w:val="24"/>
        </w:rPr>
        <w:t>CQM根据客户申请信息进行申请评审，并已</w:t>
      </w:r>
      <w:r>
        <w:rPr>
          <w:rFonts w:hint="eastAsia" w:ascii="宋体" w:hAnsi="宋体"/>
          <w:sz w:val="24"/>
        </w:rPr>
        <w:t>确认受理认证申请；</w:t>
      </w:r>
    </w:p>
    <w:p>
      <w:pPr>
        <w:numPr>
          <w:ilvl w:val="0"/>
          <w:numId w:val="7"/>
        </w:numPr>
        <w:tabs>
          <w:tab w:val="left" w:pos="180"/>
          <w:tab w:val="left" w:pos="360"/>
          <w:tab w:val="left" w:pos="540"/>
          <w:tab w:val="left" w:pos="720"/>
          <w:tab w:val="left" w:pos="900"/>
          <w:tab w:val="clear" w:pos="719"/>
        </w:tabs>
        <w:spacing w:line="360" w:lineRule="auto"/>
        <w:rPr>
          <w:rFonts w:ascii="宋体" w:hAnsi="宋体"/>
          <w:sz w:val="24"/>
        </w:rPr>
      </w:pPr>
      <w:r>
        <w:rPr>
          <w:rFonts w:hint="eastAsia" w:ascii="宋体" w:hAnsi="宋体"/>
          <w:sz w:val="24"/>
        </w:rPr>
        <w:t>满足6.1.1批准认证资格的条件，经CQM审定，认为认证客户在认证范围内已满足批准认证资格的条件，同意批准认证；</w:t>
      </w:r>
    </w:p>
    <w:p>
      <w:pPr>
        <w:numPr>
          <w:ilvl w:val="0"/>
          <w:numId w:val="7"/>
        </w:numPr>
        <w:tabs>
          <w:tab w:val="left" w:pos="180"/>
          <w:tab w:val="left" w:pos="360"/>
          <w:tab w:val="left" w:pos="540"/>
          <w:tab w:val="left" w:pos="720"/>
          <w:tab w:val="left" w:pos="900"/>
          <w:tab w:val="clear" w:pos="719"/>
        </w:tabs>
        <w:spacing w:line="360" w:lineRule="auto"/>
        <w:rPr>
          <w:rFonts w:ascii="宋体" w:hAnsi="宋体"/>
          <w:sz w:val="24"/>
        </w:rPr>
      </w:pPr>
      <w:r>
        <w:rPr>
          <w:rFonts w:hint="eastAsia" w:ascii="宋体" w:hAnsi="宋体"/>
          <w:sz w:val="24"/>
        </w:rPr>
        <w:t>CQM向认证客户颁发认证证书，要求获证方按规定使用认证标志。</w:t>
      </w:r>
    </w:p>
    <w:p>
      <w:pPr>
        <w:spacing w:line="360" w:lineRule="auto"/>
        <w:rPr>
          <w:rFonts w:ascii="宋体" w:hAnsi="宋体"/>
          <w:b/>
          <w:sz w:val="24"/>
        </w:rPr>
      </w:pPr>
      <w:r>
        <w:rPr>
          <w:rFonts w:hint="eastAsia" w:ascii="宋体" w:hAnsi="宋体"/>
          <w:b/>
          <w:sz w:val="24"/>
        </w:rPr>
        <w:t>6.2拒绝认证注册的条件和程序</w:t>
      </w:r>
    </w:p>
    <w:p>
      <w:pPr>
        <w:spacing w:line="360" w:lineRule="auto"/>
        <w:rPr>
          <w:rFonts w:ascii="宋体" w:hAnsi="宋体"/>
          <w:bCs/>
          <w:sz w:val="24"/>
        </w:rPr>
      </w:pPr>
      <w:r>
        <w:rPr>
          <w:rFonts w:hint="eastAsia" w:ascii="宋体" w:hAnsi="宋体"/>
          <w:bCs/>
          <w:sz w:val="24"/>
        </w:rPr>
        <w:t>6.2.1 拒绝认证资格的条件</w:t>
      </w:r>
    </w:p>
    <w:p>
      <w:pPr>
        <w:pStyle w:val="9"/>
        <w:numPr>
          <w:ilvl w:val="1"/>
          <w:numId w:val="7"/>
        </w:numPr>
        <w:tabs>
          <w:tab w:val="left" w:pos="720"/>
          <w:tab w:val="clear" w:pos="1139"/>
        </w:tabs>
        <w:spacing w:after="0" w:line="360" w:lineRule="auto"/>
        <w:ind w:left="720" w:leftChars="0"/>
        <w:rPr>
          <w:rFonts w:hint="eastAsia" w:ascii="宋体" w:hAnsi="宋体"/>
          <w:iCs/>
          <w:sz w:val="24"/>
        </w:rPr>
      </w:pPr>
      <w:r>
        <w:rPr>
          <w:rFonts w:hint="eastAsia" w:ascii="宋体" w:hAnsi="宋体"/>
          <w:iCs/>
          <w:sz w:val="24"/>
        </w:rPr>
        <w:t xml:space="preserve">认证客户信息未通过CQM的申请评审，评审为不予受理认证申请； </w:t>
      </w:r>
    </w:p>
    <w:p>
      <w:pPr>
        <w:pStyle w:val="9"/>
        <w:numPr>
          <w:ilvl w:val="1"/>
          <w:numId w:val="7"/>
        </w:numPr>
        <w:tabs>
          <w:tab w:val="left" w:pos="720"/>
          <w:tab w:val="clear" w:pos="1139"/>
        </w:tabs>
        <w:spacing w:after="0" w:line="360" w:lineRule="auto"/>
        <w:ind w:left="720" w:leftChars="0"/>
        <w:rPr>
          <w:rFonts w:hint="eastAsia" w:ascii="宋体" w:hAnsi="宋体"/>
          <w:iCs/>
          <w:sz w:val="24"/>
        </w:rPr>
      </w:pPr>
      <w:r>
        <w:rPr>
          <w:rFonts w:hint="eastAsia" w:ascii="宋体" w:hAnsi="宋体"/>
          <w:iCs/>
          <w:sz w:val="24"/>
        </w:rPr>
        <w:t>认证客户的数据安全风险管理有重大缺陷，不符合认证标准的要求，CQM审核组现场审核结论为“不推荐认证注册”；</w:t>
      </w:r>
    </w:p>
    <w:p>
      <w:pPr>
        <w:pStyle w:val="9"/>
        <w:numPr>
          <w:ilvl w:val="1"/>
          <w:numId w:val="7"/>
        </w:numPr>
        <w:tabs>
          <w:tab w:val="left" w:pos="720"/>
          <w:tab w:val="clear" w:pos="1139"/>
        </w:tabs>
        <w:spacing w:after="0" w:line="360" w:lineRule="auto"/>
        <w:ind w:left="720" w:leftChars="0"/>
        <w:rPr>
          <w:rFonts w:hint="eastAsia" w:ascii="宋体" w:hAnsi="宋体"/>
          <w:iCs/>
          <w:sz w:val="24"/>
        </w:rPr>
      </w:pPr>
      <w:r>
        <w:rPr>
          <w:rFonts w:hint="eastAsia" w:ascii="宋体" w:hAnsi="宋体"/>
          <w:iCs/>
          <w:sz w:val="24"/>
        </w:rPr>
        <w:t>认证客户的数据安全风险管理有重大缺陷，不符合认证标准的要求，CQM的审定结论为不予认证注册。</w:t>
      </w:r>
    </w:p>
    <w:p>
      <w:pPr>
        <w:tabs>
          <w:tab w:val="left" w:pos="720"/>
        </w:tabs>
        <w:spacing w:line="360" w:lineRule="auto"/>
        <w:rPr>
          <w:rFonts w:ascii="宋体" w:hAnsi="宋体"/>
          <w:bCs/>
          <w:i/>
          <w:iCs/>
          <w:sz w:val="24"/>
        </w:rPr>
      </w:pPr>
      <w:r>
        <w:rPr>
          <w:rFonts w:hint="eastAsia" w:ascii="宋体" w:hAnsi="宋体"/>
          <w:bCs/>
          <w:sz w:val="24"/>
        </w:rPr>
        <w:t>6.2.2 拒绝认证注册的程序</w:t>
      </w:r>
    </w:p>
    <w:p>
      <w:pPr>
        <w:pStyle w:val="9"/>
        <w:numPr>
          <w:ilvl w:val="1"/>
          <w:numId w:val="8"/>
        </w:numPr>
        <w:tabs>
          <w:tab w:val="left" w:pos="720"/>
          <w:tab w:val="clear" w:pos="1139"/>
        </w:tabs>
        <w:spacing w:after="0" w:line="360" w:lineRule="auto"/>
        <w:ind w:left="720" w:leftChars="0"/>
        <w:rPr>
          <w:rFonts w:ascii="宋体" w:hAnsi="宋体"/>
          <w:bCs/>
          <w:iCs/>
          <w:sz w:val="24"/>
        </w:rPr>
      </w:pPr>
      <w:r>
        <w:rPr>
          <w:rFonts w:hint="eastAsia" w:ascii="宋体" w:hAnsi="宋体"/>
          <w:iCs/>
          <w:sz w:val="24"/>
        </w:rPr>
        <w:t>符合6.2.1条件之一，经CQM</w:t>
      </w:r>
      <w:r>
        <w:rPr>
          <w:rFonts w:hint="eastAsia" w:ascii="宋体" w:hAnsi="宋体"/>
          <w:sz w:val="24"/>
        </w:rPr>
        <w:t>评审为不予受理认证或认证客户的</w:t>
      </w:r>
      <w:r>
        <w:rPr>
          <w:rFonts w:hint="eastAsia" w:ascii="宋体" w:hAnsi="宋体" w:cs="宋体"/>
          <w:sz w:val="24"/>
        </w:rPr>
        <w:t>数据安全风险</w:t>
      </w:r>
      <w:r>
        <w:rPr>
          <w:rFonts w:hint="eastAsia" w:ascii="宋体" w:hAnsi="宋体"/>
          <w:sz w:val="24"/>
        </w:rPr>
        <w:t>管理不满足批准认证资格条件</w:t>
      </w:r>
      <w:r>
        <w:rPr>
          <w:rFonts w:hint="eastAsia" w:ascii="宋体" w:hAnsi="宋体"/>
          <w:color w:val="000000"/>
          <w:sz w:val="24"/>
        </w:rPr>
        <w:t>；</w:t>
      </w:r>
    </w:p>
    <w:p>
      <w:pPr>
        <w:pStyle w:val="9"/>
        <w:numPr>
          <w:ilvl w:val="1"/>
          <w:numId w:val="8"/>
        </w:numPr>
        <w:tabs>
          <w:tab w:val="left" w:pos="720"/>
          <w:tab w:val="clear" w:pos="1139"/>
        </w:tabs>
        <w:spacing w:after="0" w:line="360" w:lineRule="auto"/>
        <w:ind w:left="720" w:leftChars="0"/>
        <w:rPr>
          <w:rFonts w:ascii="宋体" w:hAnsi="宋体"/>
          <w:bCs/>
          <w:iCs/>
          <w:sz w:val="24"/>
        </w:rPr>
      </w:pPr>
      <w:r>
        <w:rPr>
          <w:rFonts w:hint="eastAsia" w:ascii="宋体" w:hAnsi="宋体"/>
          <w:sz w:val="24"/>
        </w:rPr>
        <w:t>CQM向认证客户发出《不</w:t>
      </w:r>
      <w:r>
        <w:rPr>
          <w:rFonts w:hint="eastAsia" w:ascii="宋体" w:hAnsi="宋体"/>
          <w:bCs/>
          <w:iCs/>
          <w:sz w:val="24"/>
        </w:rPr>
        <w:t>予</w:t>
      </w:r>
      <w:r>
        <w:rPr>
          <w:rFonts w:hint="eastAsia" w:ascii="宋体" w:hAnsi="宋体"/>
          <w:sz w:val="24"/>
        </w:rPr>
        <w:t>认证注册通知》</w:t>
      </w:r>
      <w:r>
        <w:rPr>
          <w:rFonts w:hint="eastAsia" w:ascii="宋体" w:hAnsi="宋体"/>
          <w:bCs/>
          <w:iCs/>
          <w:sz w:val="24"/>
        </w:rPr>
        <w:t>。</w:t>
      </w:r>
    </w:p>
    <w:p>
      <w:pPr>
        <w:spacing w:line="360" w:lineRule="auto"/>
        <w:rPr>
          <w:rFonts w:ascii="宋体" w:hAnsi="宋体"/>
          <w:b/>
          <w:sz w:val="24"/>
        </w:rPr>
      </w:pPr>
      <w:r>
        <w:rPr>
          <w:rFonts w:hint="eastAsia" w:ascii="宋体" w:hAnsi="宋体"/>
          <w:b/>
          <w:sz w:val="24"/>
        </w:rPr>
        <w:t>6.3保持认证资格的条件和程序</w:t>
      </w:r>
    </w:p>
    <w:p>
      <w:pPr>
        <w:spacing w:line="360" w:lineRule="auto"/>
        <w:rPr>
          <w:rFonts w:ascii="宋体" w:hAnsi="宋体"/>
          <w:bCs/>
          <w:sz w:val="24"/>
        </w:rPr>
      </w:pPr>
      <w:r>
        <w:rPr>
          <w:rFonts w:hint="eastAsia" w:ascii="宋体" w:hAnsi="宋体"/>
          <w:bCs/>
          <w:sz w:val="24"/>
        </w:rPr>
        <w:t>6.3.1 保持认证资格的条件</w:t>
      </w:r>
    </w:p>
    <w:p>
      <w:pPr>
        <w:numPr>
          <w:ilvl w:val="0"/>
          <w:numId w:val="9"/>
        </w:numPr>
        <w:tabs>
          <w:tab w:val="left" w:pos="720"/>
        </w:tabs>
        <w:spacing w:line="360" w:lineRule="auto"/>
        <w:ind w:left="709" w:hanging="349"/>
        <w:rPr>
          <w:rFonts w:ascii="宋体" w:hAnsi="宋体"/>
          <w:sz w:val="24"/>
        </w:rPr>
      </w:pPr>
      <w:r>
        <w:rPr>
          <w:rFonts w:hint="eastAsia" w:ascii="宋体" w:hAnsi="宋体"/>
          <w:sz w:val="24"/>
        </w:rPr>
        <w:t>获证客户的法律地位、行政许可文件持续符合国家的最新要求，并且认证范围在法律地位文件和行政许可文件规定的范围内；</w:t>
      </w:r>
    </w:p>
    <w:p>
      <w:pPr>
        <w:numPr>
          <w:ilvl w:val="0"/>
          <w:numId w:val="9"/>
        </w:numPr>
        <w:tabs>
          <w:tab w:val="left" w:pos="720"/>
        </w:tabs>
        <w:spacing w:line="360" w:lineRule="auto"/>
        <w:ind w:left="720" w:hanging="360"/>
        <w:rPr>
          <w:rFonts w:ascii="宋体" w:hAnsi="宋体"/>
          <w:sz w:val="24"/>
        </w:rPr>
      </w:pPr>
      <w:r>
        <w:rPr>
          <w:rFonts w:hint="eastAsia" w:ascii="宋体" w:hAnsi="宋体"/>
          <w:sz w:val="24"/>
        </w:rPr>
        <w:t>获证客户持续遵守认证有关的规定，包括变更的规定；</w:t>
      </w:r>
    </w:p>
    <w:p>
      <w:pPr>
        <w:numPr>
          <w:ilvl w:val="0"/>
          <w:numId w:val="9"/>
        </w:numPr>
        <w:tabs>
          <w:tab w:val="left" w:pos="720"/>
        </w:tabs>
        <w:spacing w:line="360" w:lineRule="auto"/>
        <w:ind w:left="720" w:hanging="360"/>
        <w:rPr>
          <w:rFonts w:ascii="宋体" w:hAnsi="宋体"/>
          <w:sz w:val="24"/>
        </w:rPr>
      </w:pPr>
      <w:r>
        <w:rPr>
          <w:rFonts w:hint="eastAsia" w:ascii="宋体" w:hAnsi="宋体"/>
          <w:sz w:val="24"/>
        </w:rPr>
        <w:t>获证客户在认证范围内的组织过程和活动持续满足适用的最新法律法规的要求，如发生不满足时及时采取有效的措施；</w:t>
      </w:r>
    </w:p>
    <w:p>
      <w:pPr>
        <w:numPr>
          <w:ilvl w:val="0"/>
          <w:numId w:val="9"/>
        </w:numPr>
        <w:tabs>
          <w:tab w:val="left" w:pos="720"/>
        </w:tabs>
        <w:spacing w:line="360" w:lineRule="auto"/>
        <w:ind w:left="720" w:hanging="360"/>
        <w:rPr>
          <w:rFonts w:ascii="宋体" w:hAnsi="宋体"/>
          <w:sz w:val="24"/>
        </w:rPr>
      </w:pPr>
      <w:r>
        <w:rPr>
          <w:rFonts w:hint="eastAsia" w:ascii="宋体" w:hAnsi="宋体"/>
          <w:sz w:val="24"/>
        </w:rPr>
        <w:t>获证客户于获证期内，认证范围内涉及的过程或活动未发生重大事故和国家检查不合格；</w:t>
      </w:r>
    </w:p>
    <w:p>
      <w:pPr>
        <w:numPr>
          <w:ilvl w:val="0"/>
          <w:numId w:val="9"/>
        </w:numPr>
        <w:tabs>
          <w:tab w:val="left" w:pos="720"/>
        </w:tabs>
        <w:spacing w:line="360" w:lineRule="auto"/>
        <w:ind w:left="720" w:hanging="360"/>
        <w:rPr>
          <w:rFonts w:ascii="宋体" w:hAnsi="宋体"/>
          <w:sz w:val="24"/>
        </w:rPr>
      </w:pPr>
      <w:r>
        <w:rPr>
          <w:rFonts w:hint="eastAsia" w:ascii="宋体" w:hAnsi="宋体"/>
          <w:sz w:val="24"/>
        </w:rPr>
        <w:t>获证客户在获证期间未发生误用认证证书和认证标志，如有发生能及时有效地采取纠正和纠正措施，并将误用产生的影响降至最小程度；</w:t>
      </w:r>
    </w:p>
    <w:p>
      <w:pPr>
        <w:numPr>
          <w:ilvl w:val="0"/>
          <w:numId w:val="9"/>
        </w:numPr>
        <w:tabs>
          <w:tab w:val="left" w:pos="720"/>
        </w:tabs>
        <w:spacing w:line="360" w:lineRule="auto"/>
        <w:ind w:left="720" w:hanging="360"/>
        <w:rPr>
          <w:rFonts w:ascii="宋体" w:hAnsi="宋体"/>
          <w:sz w:val="24"/>
        </w:rPr>
      </w:pPr>
      <w:r>
        <w:rPr>
          <w:rFonts w:hint="eastAsia" w:ascii="宋体" w:hAnsi="宋体"/>
          <w:sz w:val="24"/>
        </w:rPr>
        <w:t>获证客户对顾客或相关方的重大投诉和关切能及时有效地处理；</w:t>
      </w:r>
    </w:p>
    <w:p>
      <w:pPr>
        <w:numPr>
          <w:ilvl w:val="0"/>
          <w:numId w:val="9"/>
        </w:numPr>
        <w:tabs>
          <w:tab w:val="left" w:pos="720"/>
        </w:tabs>
        <w:spacing w:line="360" w:lineRule="auto"/>
        <w:ind w:left="720" w:hanging="360"/>
        <w:rPr>
          <w:rFonts w:ascii="宋体" w:hAnsi="宋体"/>
          <w:sz w:val="24"/>
        </w:rPr>
      </w:pPr>
      <w:r>
        <w:rPr>
          <w:rFonts w:hint="eastAsia" w:ascii="宋体" w:hAnsi="宋体"/>
          <w:sz w:val="24"/>
        </w:rPr>
        <w:t>获证客户能按照CQM要求及时通报重要过程变更等信息；</w:t>
      </w:r>
    </w:p>
    <w:p>
      <w:pPr>
        <w:numPr>
          <w:ilvl w:val="0"/>
          <w:numId w:val="9"/>
        </w:numPr>
        <w:tabs>
          <w:tab w:val="left" w:pos="720"/>
        </w:tabs>
        <w:spacing w:line="360" w:lineRule="auto"/>
        <w:ind w:left="720" w:hanging="360"/>
        <w:rPr>
          <w:rFonts w:ascii="宋体" w:hAnsi="宋体"/>
          <w:sz w:val="24"/>
        </w:rPr>
      </w:pPr>
      <w:r>
        <w:rPr>
          <w:rFonts w:hint="eastAsia" w:ascii="宋体" w:hAnsi="宋体"/>
          <w:sz w:val="24"/>
        </w:rPr>
        <w:t>按时接受监督审核,经现场审核获证客户的</w:t>
      </w:r>
      <w:r>
        <w:rPr>
          <w:rFonts w:hint="eastAsia" w:ascii="宋体" w:hAnsi="宋体" w:cs="宋体"/>
          <w:sz w:val="24"/>
        </w:rPr>
        <w:t>数据安全风险</w:t>
      </w:r>
      <w:r>
        <w:rPr>
          <w:rFonts w:hint="eastAsia" w:ascii="宋体" w:hAnsi="宋体"/>
          <w:sz w:val="24"/>
        </w:rPr>
        <w:t>管理持续符合认证标准/规范性文件要求，审核组结论为“保持认证”；</w:t>
      </w:r>
    </w:p>
    <w:p>
      <w:pPr>
        <w:numPr>
          <w:ilvl w:val="0"/>
          <w:numId w:val="9"/>
        </w:numPr>
        <w:tabs>
          <w:tab w:val="left" w:pos="720"/>
        </w:tabs>
        <w:spacing w:line="360" w:lineRule="auto"/>
        <w:ind w:left="720" w:hanging="360"/>
        <w:rPr>
          <w:rFonts w:ascii="宋体" w:hAnsi="宋体"/>
          <w:sz w:val="24"/>
        </w:rPr>
      </w:pPr>
      <w:r>
        <w:rPr>
          <w:rFonts w:hint="eastAsia" w:ascii="宋体" w:hAnsi="宋体"/>
          <w:sz w:val="24"/>
        </w:rPr>
        <w:t>获证客户履行与CQM签署认证合同中规定的责任和义务，并按照认证合同规定缴纳认证费用。</w:t>
      </w:r>
    </w:p>
    <w:p>
      <w:pPr>
        <w:tabs>
          <w:tab w:val="left" w:pos="720"/>
        </w:tabs>
        <w:spacing w:line="360" w:lineRule="auto"/>
        <w:rPr>
          <w:rFonts w:ascii="宋体" w:hAnsi="宋体"/>
          <w:bCs/>
          <w:i/>
          <w:iCs/>
          <w:sz w:val="24"/>
        </w:rPr>
      </w:pPr>
      <w:r>
        <w:rPr>
          <w:rFonts w:hint="eastAsia" w:ascii="宋体" w:hAnsi="宋体"/>
          <w:bCs/>
          <w:sz w:val="24"/>
        </w:rPr>
        <w:t>6.3.2 保持认证资格的程序</w:t>
      </w:r>
    </w:p>
    <w:p>
      <w:pPr>
        <w:numPr>
          <w:ilvl w:val="0"/>
          <w:numId w:val="10"/>
        </w:numPr>
        <w:tabs>
          <w:tab w:val="left" w:pos="720"/>
          <w:tab w:val="clear" w:pos="1050"/>
        </w:tabs>
        <w:spacing w:line="360" w:lineRule="auto"/>
        <w:ind w:left="709" w:hanging="349"/>
        <w:rPr>
          <w:rFonts w:ascii="宋体" w:hAnsi="宋体"/>
          <w:sz w:val="24"/>
        </w:rPr>
      </w:pPr>
      <w:r>
        <w:rPr>
          <w:rFonts w:hint="eastAsia" w:ascii="宋体" w:hAnsi="宋体"/>
          <w:sz w:val="24"/>
        </w:rPr>
        <w:t xml:space="preserve">满足6.3.1保持认证资格的条件，监督审核后，经CQM派出的审核组长确认和CQM审查后认为获证客户在认证范围内能持续满足保持认证资格的条件，同意保持认证资格，由CQM签发确认证书并向获证客户发放； </w:t>
      </w:r>
    </w:p>
    <w:p>
      <w:pPr>
        <w:numPr>
          <w:ilvl w:val="0"/>
          <w:numId w:val="10"/>
        </w:numPr>
        <w:tabs>
          <w:tab w:val="left" w:pos="720"/>
        </w:tabs>
        <w:spacing w:line="360" w:lineRule="auto"/>
        <w:ind w:left="720" w:hanging="360"/>
        <w:rPr>
          <w:rFonts w:ascii="宋体" w:hAnsi="宋体"/>
          <w:sz w:val="24"/>
        </w:rPr>
      </w:pPr>
      <w:r>
        <w:rPr>
          <w:rFonts w:hint="eastAsia" w:ascii="宋体" w:hAnsi="宋体"/>
          <w:sz w:val="24"/>
        </w:rPr>
        <w:t>在认证证书有效期内如有认证要求变更，获证客户接受变更的认证要求，并经CQM验证在认证范围内</w:t>
      </w:r>
      <w:r>
        <w:rPr>
          <w:rFonts w:hint="eastAsia" w:ascii="宋体" w:hAnsi="宋体" w:cs="宋体"/>
          <w:sz w:val="24"/>
        </w:rPr>
        <w:t>数据安全风险</w:t>
      </w:r>
      <w:r>
        <w:rPr>
          <w:rFonts w:hint="eastAsia" w:ascii="宋体" w:hAnsi="宋体"/>
          <w:sz w:val="24"/>
        </w:rPr>
        <w:t>管理满足变更的要求，可保持认证资格。</w:t>
      </w:r>
    </w:p>
    <w:p>
      <w:pPr>
        <w:spacing w:line="360" w:lineRule="auto"/>
        <w:rPr>
          <w:rFonts w:ascii="宋体" w:hAnsi="宋体"/>
          <w:b/>
          <w:sz w:val="24"/>
        </w:rPr>
      </w:pPr>
      <w:r>
        <w:rPr>
          <w:rFonts w:hint="eastAsia" w:ascii="宋体" w:hAnsi="宋体"/>
          <w:b/>
          <w:sz w:val="24"/>
        </w:rPr>
        <w:t>6.6变更认证信息的条件和程序</w:t>
      </w:r>
    </w:p>
    <w:p>
      <w:pPr>
        <w:spacing w:line="360" w:lineRule="auto"/>
        <w:rPr>
          <w:rFonts w:ascii="宋体" w:hAnsi="宋体"/>
          <w:bCs/>
          <w:sz w:val="24"/>
        </w:rPr>
      </w:pPr>
      <w:r>
        <w:rPr>
          <w:rFonts w:hint="eastAsia" w:ascii="宋体" w:hAnsi="宋体"/>
          <w:bCs/>
          <w:sz w:val="24"/>
        </w:rPr>
        <w:t>6.6.1</w:t>
      </w:r>
      <w:r>
        <w:rPr>
          <w:rFonts w:hint="eastAsia" w:ascii="宋体" w:hAnsi="宋体"/>
          <w:sz w:val="24"/>
        </w:rPr>
        <w:t>变更认证信息的条件和分类</w:t>
      </w:r>
    </w:p>
    <w:p>
      <w:pPr>
        <w:spacing w:line="360" w:lineRule="auto"/>
        <w:rPr>
          <w:rFonts w:ascii="宋体" w:hAnsi="宋体"/>
          <w:sz w:val="24"/>
        </w:rPr>
      </w:pPr>
      <w:r>
        <w:rPr>
          <w:rFonts w:hint="eastAsia" w:ascii="宋体" w:hAnsi="宋体"/>
          <w:sz w:val="24"/>
        </w:rPr>
        <w:t>6.6.1.1变更认证信息的条件</w:t>
      </w:r>
    </w:p>
    <w:p>
      <w:pPr>
        <w:spacing w:line="360" w:lineRule="auto"/>
        <w:ind w:firstLine="480" w:firstLineChars="200"/>
        <w:rPr>
          <w:rFonts w:ascii="宋体" w:hAnsi="宋体"/>
          <w:sz w:val="24"/>
        </w:rPr>
      </w:pPr>
      <w:r>
        <w:rPr>
          <w:rFonts w:hint="eastAsia" w:ascii="宋体" w:hAnsi="宋体"/>
          <w:sz w:val="24"/>
        </w:rPr>
        <w:t>在认证证书有效期内，获证客户因信息发生变更，导致与认证证书信息不一致时，应予以更新。</w:t>
      </w:r>
    </w:p>
    <w:p>
      <w:pPr>
        <w:spacing w:line="360" w:lineRule="auto"/>
        <w:rPr>
          <w:rFonts w:ascii="宋体" w:hAnsi="宋体"/>
          <w:sz w:val="24"/>
        </w:rPr>
      </w:pPr>
      <w:r>
        <w:rPr>
          <w:rFonts w:hint="eastAsia" w:ascii="宋体" w:hAnsi="宋体"/>
          <w:sz w:val="24"/>
        </w:rPr>
        <w:t>6.6.1.2变更认证信息的分类</w:t>
      </w:r>
    </w:p>
    <w:p>
      <w:pPr>
        <w:numPr>
          <w:ilvl w:val="0"/>
          <w:numId w:val="11"/>
        </w:numPr>
        <w:tabs>
          <w:tab w:val="left" w:pos="720"/>
        </w:tabs>
        <w:spacing w:line="360" w:lineRule="auto"/>
        <w:rPr>
          <w:rFonts w:ascii="宋体" w:hAnsi="宋体" w:cs="宋体"/>
          <w:sz w:val="24"/>
        </w:rPr>
      </w:pPr>
      <w:r>
        <w:rPr>
          <w:rFonts w:hint="eastAsia" w:ascii="宋体" w:hAnsi="宋体" w:cs="宋体"/>
          <w:sz w:val="24"/>
        </w:rPr>
        <w:t>获证客户名称、住所变更；</w:t>
      </w:r>
    </w:p>
    <w:p>
      <w:pPr>
        <w:numPr>
          <w:ilvl w:val="0"/>
          <w:numId w:val="11"/>
        </w:numPr>
        <w:tabs>
          <w:tab w:val="left" w:pos="720"/>
        </w:tabs>
        <w:spacing w:line="360" w:lineRule="auto"/>
        <w:rPr>
          <w:rFonts w:ascii="宋体" w:hAnsi="宋体" w:cs="宋体"/>
          <w:sz w:val="24"/>
        </w:rPr>
      </w:pPr>
      <w:r>
        <w:rPr>
          <w:rFonts w:hint="eastAsia" w:ascii="宋体" w:hAnsi="宋体" w:cs="宋体"/>
          <w:sz w:val="24"/>
        </w:rPr>
        <w:t>认证地址变更；</w:t>
      </w:r>
    </w:p>
    <w:p>
      <w:pPr>
        <w:numPr>
          <w:ilvl w:val="0"/>
          <w:numId w:val="11"/>
        </w:numPr>
        <w:tabs>
          <w:tab w:val="left" w:pos="720"/>
        </w:tabs>
        <w:spacing w:line="360" w:lineRule="auto"/>
        <w:rPr>
          <w:rFonts w:ascii="宋体" w:hAnsi="宋体" w:cs="宋体"/>
          <w:sz w:val="24"/>
        </w:rPr>
      </w:pPr>
      <w:r>
        <w:rPr>
          <w:rFonts w:hint="eastAsia" w:ascii="宋体" w:hAnsi="宋体" w:cs="宋体"/>
          <w:sz w:val="24"/>
        </w:rPr>
        <w:t>地名变更；</w:t>
      </w:r>
    </w:p>
    <w:p>
      <w:pPr>
        <w:numPr>
          <w:ilvl w:val="0"/>
          <w:numId w:val="11"/>
        </w:numPr>
        <w:tabs>
          <w:tab w:val="left" w:pos="720"/>
        </w:tabs>
        <w:spacing w:line="360" w:lineRule="auto"/>
        <w:rPr>
          <w:rFonts w:ascii="宋体" w:hAnsi="宋体" w:cs="宋体"/>
          <w:sz w:val="24"/>
        </w:rPr>
      </w:pPr>
      <w:r>
        <w:rPr>
          <w:rFonts w:hint="eastAsia" w:ascii="宋体" w:hAnsi="宋体" w:cs="宋体"/>
          <w:sz w:val="24"/>
        </w:rPr>
        <w:t>证书范围中的过程或活动的变更。</w:t>
      </w:r>
    </w:p>
    <w:p>
      <w:pPr>
        <w:spacing w:line="360" w:lineRule="auto"/>
        <w:rPr>
          <w:rFonts w:ascii="宋体" w:hAnsi="宋体"/>
          <w:bCs/>
          <w:sz w:val="24"/>
        </w:rPr>
      </w:pPr>
      <w:r>
        <w:rPr>
          <w:rFonts w:hint="eastAsia" w:ascii="宋体" w:hAnsi="宋体"/>
          <w:bCs/>
          <w:sz w:val="24"/>
        </w:rPr>
        <w:t>6.6.2变更认证信息的程序</w:t>
      </w:r>
    </w:p>
    <w:p>
      <w:pPr>
        <w:spacing w:line="360" w:lineRule="auto"/>
        <w:rPr>
          <w:rFonts w:ascii="宋体" w:hAnsi="宋体"/>
          <w:color w:val="000000"/>
          <w:sz w:val="24"/>
        </w:rPr>
      </w:pPr>
      <w:r>
        <w:rPr>
          <w:rFonts w:hint="eastAsia" w:ascii="宋体" w:hAnsi="宋体"/>
          <w:color w:val="000000"/>
          <w:sz w:val="24"/>
        </w:rPr>
        <w:t>6.6.2.1认证信息的变更需提交的资料</w:t>
      </w:r>
    </w:p>
    <w:p>
      <w:pPr>
        <w:spacing w:line="360" w:lineRule="auto"/>
        <w:rPr>
          <w:rFonts w:ascii="宋体" w:hAnsi="宋体"/>
          <w:color w:val="000000"/>
          <w:sz w:val="24"/>
        </w:rPr>
      </w:pPr>
      <w:r>
        <w:rPr>
          <w:rFonts w:hint="eastAsia" w:ascii="宋体" w:hAnsi="宋体"/>
          <w:color w:val="000000"/>
          <w:sz w:val="24"/>
        </w:rPr>
        <w:t>6.6.2.1.1获证客户名称、住所变更应提交的资料</w:t>
      </w:r>
    </w:p>
    <w:p>
      <w:pPr>
        <w:numPr>
          <w:ilvl w:val="0"/>
          <w:numId w:val="12"/>
        </w:numPr>
        <w:spacing w:line="360" w:lineRule="auto"/>
        <w:ind w:left="851" w:hanging="425"/>
        <w:rPr>
          <w:rFonts w:ascii="宋体" w:hAnsi="宋体"/>
          <w:sz w:val="24"/>
        </w:rPr>
      </w:pPr>
      <w:r>
        <w:rPr>
          <w:rFonts w:hint="eastAsia" w:ascii="宋体" w:hAnsi="宋体"/>
          <w:sz w:val="24"/>
        </w:rPr>
        <w:t>获证客户</w:t>
      </w:r>
      <w:r>
        <w:rPr>
          <w:rFonts w:ascii="宋体" w:hAnsi="宋体"/>
          <w:sz w:val="24"/>
        </w:rPr>
        <w:t>的</w:t>
      </w:r>
      <w:r>
        <w:rPr>
          <w:rFonts w:hint="eastAsia" w:ascii="宋体" w:hAnsi="宋体"/>
          <w:sz w:val="24"/>
        </w:rPr>
        <w:t>书面</w:t>
      </w:r>
      <w:r>
        <w:rPr>
          <w:rFonts w:ascii="宋体" w:hAnsi="宋体"/>
          <w:sz w:val="24"/>
        </w:rPr>
        <w:t>变更申请；</w:t>
      </w:r>
    </w:p>
    <w:p>
      <w:pPr>
        <w:numPr>
          <w:ilvl w:val="0"/>
          <w:numId w:val="12"/>
        </w:numPr>
        <w:spacing w:line="360" w:lineRule="auto"/>
        <w:ind w:left="851" w:hanging="425"/>
        <w:rPr>
          <w:rFonts w:ascii="宋体" w:hAnsi="宋体"/>
          <w:sz w:val="24"/>
        </w:rPr>
      </w:pPr>
      <w:r>
        <w:rPr>
          <w:rFonts w:ascii="宋体" w:hAnsi="宋体"/>
          <w:sz w:val="24"/>
        </w:rPr>
        <w:t>获证客户是企业的，提供工商行政主管部门的变更核准证明及新营业执照复印件；其他性质的获证客户提供允许其设立的政府行政主管部门的相关文件；</w:t>
      </w:r>
    </w:p>
    <w:p>
      <w:pPr>
        <w:numPr>
          <w:ilvl w:val="0"/>
          <w:numId w:val="12"/>
        </w:numPr>
        <w:spacing w:line="360" w:lineRule="auto"/>
        <w:ind w:left="851" w:hanging="425"/>
        <w:rPr>
          <w:rFonts w:ascii="宋体" w:hAnsi="宋体"/>
          <w:sz w:val="24"/>
        </w:rPr>
      </w:pPr>
      <w:r>
        <w:rPr>
          <w:rFonts w:ascii="宋体" w:hAnsi="宋体"/>
          <w:sz w:val="24"/>
        </w:rPr>
        <w:t>对于因改制、企业重组引起的名称变更，</w:t>
      </w:r>
      <w:r>
        <w:rPr>
          <w:rFonts w:hint="eastAsia" w:ascii="宋体" w:hAnsi="宋体"/>
          <w:sz w:val="24"/>
        </w:rPr>
        <w:t>获证客户</w:t>
      </w:r>
      <w:r>
        <w:rPr>
          <w:rFonts w:ascii="宋体" w:hAnsi="宋体"/>
          <w:sz w:val="24"/>
        </w:rPr>
        <w:t>不能获得名称变更核准证明时，应</w:t>
      </w:r>
      <w:r>
        <w:rPr>
          <w:rFonts w:hint="eastAsia" w:ascii="宋体" w:hAnsi="宋体"/>
          <w:sz w:val="24"/>
        </w:rPr>
        <w:t>提交</w:t>
      </w:r>
      <w:r>
        <w:rPr>
          <w:rFonts w:ascii="宋体" w:hAnsi="宋体"/>
          <w:sz w:val="24"/>
        </w:rPr>
        <w:t>组织以原名称和现名称名义的更名申请、政府有关部门的批文和原名称注销证明；并</w:t>
      </w:r>
      <w:r>
        <w:rPr>
          <w:rFonts w:hint="eastAsia" w:ascii="宋体" w:hAnsi="宋体"/>
          <w:sz w:val="24"/>
        </w:rPr>
        <w:t>需因</w:t>
      </w:r>
      <w:r>
        <w:rPr>
          <w:rFonts w:hint="eastAsia" w:ascii="宋体" w:hAnsi="宋体" w:cs="宋体"/>
          <w:sz w:val="24"/>
        </w:rPr>
        <w:t>数据安全风险</w:t>
      </w:r>
      <w:r>
        <w:rPr>
          <w:rFonts w:ascii="宋体" w:hAnsi="宋体"/>
          <w:sz w:val="24"/>
        </w:rPr>
        <w:t>管理发生重大变更</w:t>
      </w:r>
      <w:r>
        <w:rPr>
          <w:rFonts w:hint="eastAsia" w:ascii="宋体" w:hAnsi="宋体"/>
          <w:sz w:val="24"/>
        </w:rPr>
        <w:t>接受CQM的</w:t>
      </w:r>
      <w:r>
        <w:rPr>
          <w:rFonts w:ascii="宋体" w:hAnsi="宋体"/>
          <w:sz w:val="24"/>
        </w:rPr>
        <w:t>一次监督审核和审定</w:t>
      </w:r>
      <w:r>
        <w:rPr>
          <w:rFonts w:hint="eastAsia" w:ascii="宋体" w:hAnsi="宋体"/>
          <w:sz w:val="24"/>
        </w:rPr>
        <w:t>；</w:t>
      </w:r>
    </w:p>
    <w:p>
      <w:pPr>
        <w:numPr>
          <w:ilvl w:val="0"/>
          <w:numId w:val="12"/>
        </w:numPr>
        <w:spacing w:line="360" w:lineRule="auto"/>
        <w:ind w:left="851" w:hanging="425"/>
        <w:rPr>
          <w:rFonts w:ascii="宋体" w:hAnsi="宋体"/>
          <w:sz w:val="24"/>
        </w:rPr>
      </w:pPr>
      <w:r>
        <w:rPr>
          <w:rFonts w:hint="eastAsia" w:ascii="宋体" w:hAnsi="宋体"/>
          <w:sz w:val="24"/>
        </w:rPr>
        <w:t>有行政许可、资质等要求的获证客户，还应提供按新名称变更后的有关文件。</w:t>
      </w:r>
    </w:p>
    <w:p>
      <w:pPr>
        <w:spacing w:line="360" w:lineRule="auto"/>
        <w:rPr>
          <w:rFonts w:ascii="宋体" w:hAnsi="宋体"/>
          <w:color w:val="000000"/>
          <w:sz w:val="24"/>
        </w:rPr>
      </w:pPr>
      <w:r>
        <w:rPr>
          <w:rFonts w:hint="eastAsia" w:ascii="宋体" w:hAnsi="宋体"/>
          <w:color w:val="000000"/>
          <w:sz w:val="24"/>
        </w:rPr>
        <w:t>6.6.2.1.2认证地址变更需要提交的资料</w:t>
      </w:r>
    </w:p>
    <w:p>
      <w:pPr>
        <w:numPr>
          <w:ilvl w:val="0"/>
          <w:numId w:val="13"/>
        </w:numPr>
        <w:spacing w:line="360" w:lineRule="auto"/>
        <w:ind w:left="851" w:hanging="425"/>
        <w:rPr>
          <w:rFonts w:ascii="宋体" w:hAnsi="宋体"/>
          <w:sz w:val="24"/>
        </w:rPr>
      </w:pPr>
      <w:r>
        <w:rPr>
          <w:rFonts w:hint="eastAsia" w:ascii="宋体" w:hAnsi="宋体"/>
          <w:sz w:val="24"/>
        </w:rPr>
        <w:t>获证客户</w:t>
      </w:r>
      <w:r>
        <w:rPr>
          <w:rFonts w:ascii="宋体" w:hAnsi="宋体"/>
          <w:sz w:val="24"/>
        </w:rPr>
        <w:t>的</w:t>
      </w:r>
      <w:r>
        <w:rPr>
          <w:rFonts w:hint="eastAsia" w:ascii="宋体" w:hAnsi="宋体"/>
          <w:sz w:val="24"/>
        </w:rPr>
        <w:t>书面</w:t>
      </w:r>
      <w:r>
        <w:rPr>
          <w:rFonts w:ascii="宋体" w:hAnsi="宋体"/>
          <w:sz w:val="24"/>
        </w:rPr>
        <w:t>变更申请；</w:t>
      </w:r>
    </w:p>
    <w:p>
      <w:pPr>
        <w:numPr>
          <w:ilvl w:val="0"/>
          <w:numId w:val="13"/>
        </w:numPr>
        <w:spacing w:line="360" w:lineRule="auto"/>
        <w:ind w:left="851" w:hanging="425"/>
        <w:rPr>
          <w:rFonts w:ascii="宋体" w:hAnsi="宋体"/>
          <w:sz w:val="24"/>
        </w:rPr>
      </w:pPr>
      <w:r>
        <w:rPr>
          <w:rFonts w:hint="eastAsia" w:ascii="宋体" w:hAnsi="宋体"/>
          <w:sz w:val="24"/>
        </w:rPr>
        <w:t>有行政许可、资质等要求的获证客户，还应提供按新地址变更后的法规要求的有关文件。</w:t>
      </w:r>
    </w:p>
    <w:p>
      <w:pPr>
        <w:spacing w:line="360" w:lineRule="auto"/>
        <w:rPr>
          <w:rFonts w:ascii="宋体" w:hAnsi="宋体"/>
          <w:color w:val="000000"/>
          <w:sz w:val="24"/>
        </w:rPr>
      </w:pPr>
      <w:r>
        <w:rPr>
          <w:rFonts w:hint="eastAsia" w:ascii="宋体" w:hAnsi="宋体"/>
          <w:color w:val="000000"/>
          <w:sz w:val="24"/>
        </w:rPr>
        <w:t>6.6.2.1.3 地名变更需要提交的资料</w:t>
      </w:r>
    </w:p>
    <w:p>
      <w:pPr>
        <w:numPr>
          <w:ilvl w:val="0"/>
          <w:numId w:val="14"/>
        </w:numPr>
        <w:spacing w:line="360" w:lineRule="auto"/>
        <w:ind w:left="851" w:hanging="425"/>
        <w:rPr>
          <w:rFonts w:ascii="宋体" w:hAnsi="宋体"/>
          <w:sz w:val="24"/>
        </w:rPr>
      </w:pPr>
      <w:r>
        <w:rPr>
          <w:rFonts w:hint="eastAsia" w:ascii="宋体" w:hAnsi="宋体"/>
          <w:sz w:val="24"/>
        </w:rPr>
        <w:t>获证客户</w:t>
      </w:r>
      <w:r>
        <w:rPr>
          <w:rFonts w:ascii="宋体" w:hAnsi="宋体"/>
          <w:sz w:val="24"/>
        </w:rPr>
        <w:t>的</w:t>
      </w:r>
      <w:r>
        <w:rPr>
          <w:rFonts w:hint="eastAsia" w:ascii="宋体" w:hAnsi="宋体"/>
          <w:sz w:val="24"/>
        </w:rPr>
        <w:t>书面</w:t>
      </w:r>
      <w:r>
        <w:rPr>
          <w:rFonts w:ascii="宋体" w:hAnsi="宋体"/>
          <w:sz w:val="24"/>
        </w:rPr>
        <w:t>变更申请</w:t>
      </w:r>
      <w:r>
        <w:rPr>
          <w:rFonts w:hint="eastAsia" w:ascii="宋体" w:hAnsi="宋体"/>
          <w:sz w:val="24"/>
        </w:rPr>
        <w:t>；</w:t>
      </w:r>
    </w:p>
    <w:p>
      <w:pPr>
        <w:numPr>
          <w:ilvl w:val="0"/>
          <w:numId w:val="14"/>
        </w:numPr>
        <w:spacing w:line="360" w:lineRule="auto"/>
        <w:ind w:left="851" w:hanging="425"/>
        <w:rPr>
          <w:rFonts w:ascii="宋体" w:hAnsi="宋体"/>
          <w:sz w:val="24"/>
        </w:rPr>
      </w:pPr>
      <w:r>
        <w:rPr>
          <w:rFonts w:hint="eastAsia" w:ascii="宋体" w:hAnsi="宋体"/>
          <w:sz w:val="24"/>
        </w:rPr>
        <w:t>当地政府的相关证明；</w:t>
      </w:r>
    </w:p>
    <w:p>
      <w:pPr>
        <w:numPr>
          <w:ilvl w:val="0"/>
          <w:numId w:val="14"/>
        </w:numPr>
        <w:spacing w:line="360" w:lineRule="auto"/>
        <w:ind w:left="851" w:hanging="425"/>
        <w:rPr>
          <w:rFonts w:ascii="宋体" w:hAnsi="宋体"/>
          <w:sz w:val="24"/>
        </w:rPr>
      </w:pPr>
      <w:r>
        <w:rPr>
          <w:rFonts w:hint="eastAsia" w:ascii="宋体" w:hAnsi="宋体"/>
          <w:sz w:val="24"/>
        </w:rPr>
        <w:t>对有行政许可、资质等要求的获证客户，还应提供按新地址变更后的有关文件。</w:t>
      </w:r>
    </w:p>
    <w:p>
      <w:pPr>
        <w:spacing w:line="360" w:lineRule="auto"/>
        <w:rPr>
          <w:rFonts w:ascii="宋体" w:hAnsi="宋体"/>
          <w:color w:val="000000"/>
          <w:sz w:val="24"/>
        </w:rPr>
      </w:pPr>
      <w:r>
        <w:rPr>
          <w:rFonts w:hint="eastAsia" w:ascii="宋体" w:hAnsi="宋体"/>
          <w:color w:val="000000"/>
          <w:sz w:val="24"/>
        </w:rPr>
        <w:t>6.6.2.1.4 证书范围中的过程或活动的变更需要提交的资料</w:t>
      </w:r>
    </w:p>
    <w:p>
      <w:pPr>
        <w:numPr>
          <w:ilvl w:val="0"/>
          <w:numId w:val="15"/>
        </w:numPr>
        <w:spacing w:line="360" w:lineRule="auto"/>
        <w:ind w:left="851" w:hanging="425"/>
        <w:rPr>
          <w:rFonts w:hint="eastAsia" w:ascii="宋体" w:hAnsi="宋体"/>
          <w:sz w:val="24"/>
        </w:rPr>
      </w:pPr>
      <w:r>
        <w:rPr>
          <w:rFonts w:hint="eastAsia" w:ascii="宋体" w:hAnsi="宋体"/>
          <w:sz w:val="24"/>
        </w:rPr>
        <w:t>获证客户的书面变更申请；</w:t>
      </w:r>
    </w:p>
    <w:p>
      <w:pPr>
        <w:numPr>
          <w:ilvl w:val="0"/>
          <w:numId w:val="15"/>
        </w:numPr>
        <w:spacing w:line="360" w:lineRule="auto"/>
        <w:ind w:left="851" w:hanging="425"/>
        <w:rPr>
          <w:rFonts w:hint="eastAsia" w:ascii="宋体" w:hAnsi="宋体"/>
          <w:sz w:val="24"/>
        </w:rPr>
      </w:pPr>
      <w:r>
        <w:rPr>
          <w:rFonts w:hint="eastAsia" w:ascii="宋体" w:hAnsi="宋体"/>
          <w:sz w:val="24"/>
        </w:rPr>
        <w:t>对有行政许可、资质等要求的认证范围，还应提供相应文件复印件。</w:t>
      </w:r>
    </w:p>
    <w:p>
      <w:pPr>
        <w:spacing w:line="360" w:lineRule="auto"/>
        <w:rPr>
          <w:rFonts w:ascii="宋体" w:hAnsi="宋体"/>
          <w:color w:val="000000"/>
          <w:sz w:val="24"/>
        </w:rPr>
      </w:pPr>
      <w:r>
        <w:rPr>
          <w:rFonts w:hint="eastAsia" w:ascii="宋体" w:hAnsi="宋体"/>
          <w:color w:val="000000"/>
          <w:sz w:val="24"/>
        </w:rPr>
        <w:t>6.6.2.2 认证信息变更的办理流程</w:t>
      </w:r>
    </w:p>
    <w:p>
      <w:pPr>
        <w:numPr>
          <w:ilvl w:val="0"/>
          <w:numId w:val="16"/>
        </w:numPr>
        <w:tabs>
          <w:tab w:val="left" w:pos="709"/>
          <w:tab w:val="clear" w:pos="1050"/>
        </w:tabs>
        <w:spacing w:line="360" w:lineRule="auto"/>
        <w:ind w:left="709" w:hanging="349"/>
        <w:rPr>
          <w:rFonts w:ascii="宋体" w:hAnsi="宋体" w:cs="宋体"/>
          <w:sz w:val="24"/>
        </w:rPr>
      </w:pPr>
      <w:r>
        <w:rPr>
          <w:rFonts w:hint="eastAsia" w:ascii="宋体" w:hAnsi="宋体" w:cs="宋体"/>
          <w:sz w:val="24"/>
        </w:rPr>
        <w:t>获证客户根据6.6.1要求向CQM正式提交满足6.6.2.1要求的申请和相关文件资料；</w:t>
      </w:r>
    </w:p>
    <w:p>
      <w:pPr>
        <w:numPr>
          <w:ilvl w:val="0"/>
          <w:numId w:val="16"/>
        </w:numPr>
        <w:tabs>
          <w:tab w:val="left" w:pos="720"/>
        </w:tabs>
        <w:spacing w:line="360" w:lineRule="auto"/>
        <w:rPr>
          <w:rFonts w:ascii="宋体" w:hAnsi="宋体" w:cs="宋体"/>
          <w:sz w:val="24"/>
        </w:rPr>
      </w:pPr>
      <w:r>
        <w:rPr>
          <w:rFonts w:hint="eastAsia" w:ascii="宋体" w:hAnsi="宋体" w:cs="宋体"/>
          <w:sz w:val="24"/>
        </w:rPr>
        <w:t>需要时，获证客户应接受CQM的审核；</w:t>
      </w:r>
    </w:p>
    <w:p>
      <w:pPr>
        <w:numPr>
          <w:ilvl w:val="0"/>
          <w:numId w:val="16"/>
        </w:numPr>
        <w:tabs>
          <w:tab w:val="left" w:pos="709"/>
          <w:tab w:val="clear" w:pos="1050"/>
        </w:tabs>
        <w:spacing w:line="360" w:lineRule="auto"/>
        <w:ind w:left="709" w:hanging="349"/>
        <w:rPr>
          <w:rFonts w:ascii="宋体" w:hAnsi="宋体" w:cs="宋体"/>
          <w:sz w:val="24"/>
        </w:rPr>
      </w:pPr>
      <w:r>
        <w:rPr>
          <w:rFonts w:hint="eastAsia" w:ascii="宋体" w:hAnsi="宋体" w:cs="宋体"/>
          <w:sz w:val="24"/>
        </w:rPr>
        <w:t>经CQM审定，认为获证客户满足认证信息变更的条件，同意批准认证信息变更；</w:t>
      </w:r>
    </w:p>
    <w:p>
      <w:pPr>
        <w:numPr>
          <w:ilvl w:val="0"/>
          <w:numId w:val="16"/>
        </w:numPr>
        <w:tabs>
          <w:tab w:val="left" w:pos="709"/>
          <w:tab w:val="clear" w:pos="1050"/>
        </w:tabs>
        <w:spacing w:line="360" w:lineRule="auto"/>
        <w:ind w:left="709" w:hanging="349"/>
        <w:rPr>
          <w:rFonts w:ascii="宋体" w:hAnsi="宋体" w:cs="宋体"/>
          <w:sz w:val="24"/>
        </w:rPr>
      </w:pPr>
      <w:r>
        <w:rPr>
          <w:rFonts w:hint="eastAsia" w:ascii="宋体" w:hAnsi="宋体" w:cs="宋体"/>
          <w:sz w:val="24"/>
        </w:rPr>
        <w:t>CQM收回原认证证书，换发认证证书或附件，认证证书的有效期保持不变。</w:t>
      </w:r>
    </w:p>
    <w:p>
      <w:pPr>
        <w:spacing w:line="360" w:lineRule="auto"/>
        <w:rPr>
          <w:rFonts w:ascii="宋体" w:hAnsi="宋体"/>
          <w:b/>
          <w:sz w:val="24"/>
        </w:rPr>
      </w:pPr>
      <w:r>
        <w:rPr>
          <w:rFonts w:hint="eastAsia" w:ascii="宋体" w:hAnsi="宋体"/>
          <w:b/>
          <w:sz w:val="24"/>
        </w:rPr>
        <w:t>6.7暂停认证资格的条件和程序</w:t>
      </w:r>
    </w:p>
    <w:p>
      <w:pPr>
        <w:spacing w:line="360" w:lineRule="auto"/>
        <w:rPr>
          <w:rFonts w:ascii="宋体" w:hAnsi="宋体"/>
          <w:bCs/>
          <w:sz w:val="24"/>
        </w:rPr>
      </w:pPr>
      <w:r>
        <w:rPr>
          <w:rFonts w:hint="eastAsia" w:ascii="宋体" w:hAnsi="宋体"/>
          <w:bCs/>
          <w:sz w:val="24"/>
        </w:rPr>
        <w:t>6.7.1 暂停认证资格的条件</w:t>
      </w:r>
    </w:p>
    <w:p>
      <w:pPr>
        <w:spacing w:line="360" w:lineRule="auto"/>
        <w:ind w:firstLine="480" w:firstLineChars="200"/>
        <w:rPr>
          <w:rFonts w:ascii="宋体" w:hAnsi="宋体"/>
          <w:color w:val="000000"/>
          <w:sz w:val="24"/>
        </w:rPr>
      </w:pPr>
      <w:r>
        <w:rPr>
          <w:rFonts w:hint="eastAsia" w:ascii="宋体" w:hAnsi="宋体"/>
          <w:bCs/>
          <w:iCs/>
          <w:sz w:val="24"/>
        </w:rPr>
        <w:t>符合下列条件之一的获证客户，CQM将暂停其认证证书</w:t>
      </w:r>
      <w:r>
        <w:rPr>
          <w:rFonts w:hint="eastAsia" w:ascii="宋体" w:hAnsi="宋体"/>
          <w:color w:val="000000"/>
          <w:sz w:val="24"/>
        </w:rPr>
        <w:t>：</w:t>
      </w:r>
    </w:p>
    <w:p>
      <w:pPr>
        <w:spacing w:line="360" w:lineRule="auto"/>
        <w:ind w:left="-4" w:firstLine="4"/>
        <w:rPr>
          <w:rFonts w:ascii="宋体" w:hAnsi="宋体"/>
          <w:color w:val="000000"/>
          <w:sz w:val="24"/>
        </w:rPr>
      </w:pPr>
      <w:r>
        <w:rPr>
          <w:rFonts w:hint="eastAsia" w:ascii="宋体" w:hAnsi="宋体"/>
          <w:color w:val="000000"/>
          <w:sz w:val="24"/>
        </w:rPr>
        <w:t>——</w:t>
      </w:r>
      <w:r>
        <w:rPr>
          <w:rFonts w:hint="eastAsia" w:ascii="宋体" w:hAnsi="宋体" w:cs="宋体"/>
          <w:sz w:val="24"/>
        </w:rPr>
        <w:t>获证客户数据安全风险管理持续或严重不满足认证要求。</w:t>
      </w:r>
    </w:p>
    <w:p>
      <w:pPr>
        <w:numPr>
          <w:ilvl w:val="0"/>
          <w:numId w:val="17"/>
        </w:numPr>
        <w:spacing w:line="360" w:lineRule="auto"/>
        <w:ind w:left="851" w:hanging="425"/>
        <w:rPr>
          <w:rFonts w:ascii="宋体" w:hAnsi="宋体"/>
          <w:sz w:val="24"/>
        </w:rPr>
      </w:pPr>
      <w:r>
        <w:rPr>
          <w:rFonts w:hint="eastAsia" w:ascii="宋体" w:hAnsi="宋体"/>
          <w:sz w:val="24"/>
        </w:rPr>
        <w:t>获证客户的</w:t>
      </w:r>
      <w:r>
        <w:rPr>
          <w:rFonts w:hint="eastAsia" w:ascii="宋体" w:hAnsi="宋体" w:cs="宋体"/>
          <w:sz w:val="24"/>
        </w:rPr>
        <w:t>数据安全风险</w:t>
      </w:r>
      <w:r>
        <w:rPr>
          <w:rFonts w:hint="eastAsia" w:ascii="宋体" w:hAnsi="宋体"/>
          <w:sz w:val="24"/>
        </w:rPr>
        <w:t>管理生重大变更，不能持续符合认证标准/规范性文件要求；</w:t>
      </w:r>
    </w:p>
    <w:p>
      <w:pPr>
        <w:numPr>
          <w:ilvl w:val="0"/>
          <w:numId w:val="17"/>
        </w:numPr>
        <w:spacing w:line="360" w:lineRule="auto"/>
        <w:ind w:left="851" w:hanging="425"/>
        <w:rPr>
          <w:rFonts w:ascii="宋体" w:hAnsi="宋体"/>
          <w:sz w:val="24"/>
        </w:rPr>
      </w:pPr>
      <w:r>
        <w:rPr>
          <w:rFonts w:hint="eastAsia" w:ascii="宋体" w:hAnsi="宋体"/>
          <w:sz w:val="24"/>
        </w:rPr>
        <w:t>获证客户监督审核期间发生严重影响体系运行的情况；</w:t>
      </w:r>
    </w:p>
    <w:p>
      <w:pPr>
        <w:numPr>
          <w:ilvl w:val="0"/>
          <w:numId w:val="17"/>
        </w:numPr>
        <w:spacing w:line="360" w:lineRule="auto"/>
        <w:ind w:left="851" w:hanging="425"/>
        <w:rPr>
          <w:rFonts w:ascii="宋体" w:hAnsi="宋体"/>
          <w:sz w:val="24"/>
        </w:rPr>
      </w:pPr>
      <w:r>
        <w:rPr>
          <w:rFonts w:hint="eastAsia" w:ascii="宋体" w:hAnsi="宋体"/>
          <w:sz w:val="24"/>
        </w:rPr>
        <w:t>获证客户在认证范围内的过程和活动不能满足适用的最新法律法规和标准的要求，并未采取措施或措施无效；</w:t>
      </w:r>
    </w:p>
    <w:p>
      <w:pPr>
        <w:numPr>
          <w:ilvl w:val="0"/>
          <w:numId w:val="17"/>
        </w:numPr>
        <w:spacing w:line="360" w:lineRule="auto"/>
        <w:ind w:left="11" w:firstLine="415"/>
        <w:rPr>
          <w:rFonts w:ascii="宋体" w:hAnsi="宋体"/>
          <w:color w:val="000000"/>
          <w:sz w:val="24"/>
        </w:rPr>
      </w:pPr>
      <w:r>
        <w:rPr>
          <w:rFonts w:hint="eastAsia" w:ascii="宋体" w:hAnsi="宋体"/>
          <w:sz w:val="24"/>
        </w:rPr>
        <w:t>获证客户未按照认证要求的变更做出相应调整，或调整不满足变更要求；</w:t>
      </w:r>
      <w:r>
        <w:rPr>
          <w:rFonts w:hint="eastAsia" w:ascii="宋体" w:hAnsi="宋体"/>
          <w:color w:val="000000"/>
          <w:sz w:val="24"/>
        </w:rPr>
        <w:t>——获证客户不承担、履行认证合同约定的责任和义务。</w:t>
      </w:r>
    </w:p>
    <w:p>
      <w:pPr>
        <w:numPr>
          <w:ilvl w:val="0"/>
          <w:numId w:val="18"/>
        </w:numPr>
        <w:spacing w:line="360" w:lineRule="auto"/>
        <w:ind w:left="851" w:hanging="425"/>
        <w:rPr>
          <w:rFonts w:ascii="宋体" w:hAnsi="宋体"/>
          <w:sz w:val="24"/>
        </w:rPr>
      </w:pPr>
      <w:r>
        <w:rPr>
          <w:rFonts w:hint="eastAsia" w:ascii="宋体" w:hAnsi="宋体"/>
          <w:sz w:val="24"/>
        </w:rPr>
        <w:t>获证客户未能在规定的期限内接受监督或再认证审核；</w:t>
      </w:r>
    </w:p>
    <w:p>
      <w:pPr>
        <w:numPr>
          <w:ilvl w:val="0"/>
          <w:numId w:val="18"/>
        </w:numPr>
        <w:spacing w:line="360" w:lineRule="auto"/>
        <w:ind w:left="851" w:hanging="425"/>
        <w:rPr>
          <w:rFonts w:ascii="宋体" w:hAnsi="宋体"/>
          <w:sz w:val="24"/>
        </w:rPr>
      </w:pPr>
      <w:r>
        <w:rPr>
          <w:rFonts w:hint="eastAsia" w:ascii="宋体" w:hAnsi="宋体"/>
          <w:sz w:val="24"/>
        </w:rPr>
        <w:t>获证客户未履行与CQM签署认证合同中规定的责任和义务，并对保持认证资格产生重大影响；</w:t>
      </w:r>
    </w:p>
    <w:p>
      <w:pPr>
        <w:numPr>
          <w:ilvl w:val="0"/>
          <w:numId w:val="18"/>
        </w:numPr>
        <w:spacing w:line="360" w:lineRule="auto"/>
        <w:ind w:left="851" w:hanging="425"/>
        <w:rPr>
          <w:rFonts w:ascii="宋体" w:hAnsi="宋体"/>
          <w:sz w:val="24"/>
        </w:rPr>
      </w:pPr>
      <w:r>
        <w:rPr>
          <w:rFonts w:hint="eastAsia" w:ascii="宋体" w:hAnsi="宋体"/>
          <w:sz w:val="24"/>
        </w:rPr>
        <w:t>获证客户未按照认证合同规定缴纳认证费用；</w:t>
      </w:r>
    </w:p>
    <w:p>
      <w:pPr>
        <w:numPr>
          <w:ilvl w:val="0"/>
          <w:numId w:val="18"/>
        </w:numPr>
        <w:spacing w:line="360" w:lineRule="auto"/>
        <w:ind w:left="851" w:hanging="425"/>
        <w:rPr>
          <w:rFonts w:ascii="宋体" w:hAnsi="宋体"/>
          <w:sz w:val="24"/>
        </w:rPr>
      </w:pPr>
      <w:r>
        <w:rPr>
          <w:rFonts w:hint="eastAsia" w:ascii="宋体" w:hAnsi="宋体"/>
          <w:sz w:val="24"/>
        </w:rPr>
        <w:t>获证客户在获证期间发生误用认证证书和认证标志，并未能及时有效地采取纠正和纠正措施，以将产生的影响降至最少程度。</w:t>
      </w:r>
    </w:p>
    <w:p>
      <w:pPr>
        <w:spacing w:line="360" w:lineRule="auto"/>
        <w:rPr>
          <w:rFonts w:ascii="宋体" w:hAnsi="宋体"/>
          <w:color w:val="000000"/>
          <w:sz w:val="24"/>
        </w:rPr>
      </w:pPr>
      <w:r>
        <w:rPr>
          <w:rFonts w:hint="eastAsia" w:ascii="宋体" w:hAnsi="宋体"/>
          <w:color w:val="000000"/>
          <w:sz w:val="24"/>
        </w:rPr>
        <w:t>——获证客户在证书有效期间受到相关执法监管部门处罚。</w:t>
      </w:r>
    </w:p>
    <w:p>
      <w:pPr>
        <w:numPr>
          <w:ilvl w:val="0"/>
          <w:numId w:val="19"/>
        </w:numPr>
        <w:spacing w:line="360" w:lineRule="auto"/>
        <w:ind w:left="851" w:hanging="425"/>
        <w:rPr>
          <w:rFonts w:ascii="宋体" w:hAnsi="宋体"/>
          <w:sz w:val="24"/>
        </w:rPr>
      </w:pPr>
      <w:r>
        <w:rPr>
          <w:rFonts w:hint="eastAsia" w:ascii="宋体" w:hAnsi="宋体"/>
          <w:sz w:val="24"/>
        </w:rPr>
        <w:t>获证客户未按要求对信息进行通报。</w:t>
      </w:r>
    </w:p>
    <w:p>
      <w:pPr>
        <w:spacing w:line="360" w:lineRule="auto"/>
        <w:rPr>
          <w:rFonts w:ascii="宋体" w:hAnsi="宋体" w:cs="宋体"/>
          <w:sz w:val="24"/>
        </w:rPr>
      </w:pPr>
      <w:r>
        <w:rPr>
          <w:rFonts w:hint="eastAsia" w:ascii="宋体" w:hAnsi="宋体"/>
          <w:color w:val="000000"/>
          <w:sz w:val="24"/>
        </w:rPr>
        <w:t>——</w:t>
      </w:r>
      <w:r>
        <w:rPr>
          <w:rFonts w:hint="eastAsia" w:ascii="宋体" w:hAnsi="宋体" w:cs="宋体"/>
          <w:sz w:val="24"/>
        </w:rPr>
        <w:t>获证客户被地方认证监管部门发现体系运行存在问题。</w:t>
      </w:r>
    </w:p>
    <w:p>
      <w:pPr>
        <w:numPr>
          <w:ilvl w:val="0"/>
          <w:numId w:val="20"/>
        </w:numPr>
        <w:spacing w:line="360" w:lineRule="auto"/>
        <w:ind w:left="851" w:hanging="425"/>
        <w:rPr>
          <w:rFonts w:ascii="宋体" w:hAnsi="宋体"/>
          <w:sz w:val="24"/>
        </w:rPr>
      </w:pPr>
      <w:r>
        <w:rPr>
          <w:rFonts w:hint="eastAsia" w:ascii="宋体" w:hAnsi="宋体"/>
          <w:sz w:val="24"/>
        </w:rPr>
        <w:t>获证客户于获证期间在认证范围内发生国家抽检不合格，并未查明原因和采取补救措施。</w:t>
      </w:r>
    </w:p>
    <w:p>
      <w:pPr>
        <w:spacing w:line="360" w:lineRule="auto"/>
        <w:rPr>
          <w:rFonts w:ascii="宋体" w:hAnsi="宋体" w:cs="宋体"/>
          <w:sz w:val="24"/>
        </w:rPr>
      </w:pPr>
      <w:r>
        <w:rPr>
          <w:rFonts w:hint="eastAsia" w:ascii="宋体" w:hAnsi="宋体" w:cs="宋体"/>
          <w:sz w:val="24"/>
        </w:rPr>
        <w:t>——获证客户持有的行政许可证明、资质证书、强制性认证证书等过期失效，重新提交的申请已被受理但尚未换证。</w:t>
      </w:r>
    </w:p>
    <w:p>
      <w:pPr>
        <w:numPr>
          <w:ilvl w:val="0"/>
          <w:numId w:val="21"/>
        </w:numPr>
        <w:spacing w:line="360" w:lineRule="auto"/>
        <w:ind w:left="851" w:hanging="425"/>
        <w:rPr>
          <w:rFonts w:ascii="宋体" w:hAnsi="宋体"/>
          <w:sz w:val="24"/>
        </w:rPr>
      </w:pPr>
      <w:r>
        <w:rPr>
          <w:rFonts w:hint="eastAsia" w:ascii="宋体" w:hAnsi="宋体"/>
          <w:sz w:val="24"/>
        </w:rPr>
        <w:t>获证客户的法律地位、资质不再符合国家的最新要求；</w:t>
      </w:r>
    </w:p>
    <w:p>
      <w:pPr>
        <w:numPr>
          <w:ilvl w:val="0"/>
          <w:numId w:val="21"/>
        </w:numPr>
        <w:spacing w:line="360" w:lineRule="auto"/>
        <w:ind w:left="851" w:hanging="425"/>
        <w:rPr>
          <w:rFonts w:ascii="宋体" w:hAnsi="宋体"/>
          <w:sz w:val="24"/>
        </w:rPr>
      </w:pPr>
      <w:r>
        <w:rPr>
          <w:rFonts w:hint="eastAsia" w:ascii="宋体" w:hAnsi="宋体"/>
          <w:sz w:val="24"/>
        </w:rPr>
        <w:t>获证客户的认证范围已不在现行有效的法律地位文件和资质规定的范围内，但仍有可能在短期内符合规定要求。</w:t>
      </w:r>
    </w:p>
    <w:p>
      <w:pPr>
        <w:spacing w:line="360" w:lineRule="auto"/>
        <w:rPr>
          <w:rFonts w:ascii="宋体" w:hAnsi="宋体" w:cs="宋体"/>
          <w:sz w:val="24"/>
        </w:rPr>
      </w:pPr>
      <w:r>
        <w:rPr>
          <w:rFonts w:hint="eastAsia" w:ascii="宋体" w:hAnsi="宋体" w:cs="宋体"/>
          <w:sz w:val="24"/>
        </w:rPr>
        <w:t>——获证客户主动请求暂停。</w:t>
      </w:r>
    </w:p>
    <w:p>
      <w:pPr>
        <w:spacing w:line="360" w:lineRule="auto"/>
        <w:rPr>
          <w:rFonts w:ascii="宋体" w:hAnsi="宋体" w:cs="宋体"/>
          <w:sz w:val="24"/>
        </w:rPr>
      </w:pPr>
      <w:r>
        <w:rPr>
          <w:rFonts w:hint="eastAsia" w:ascii="宋体" w:hAnsi="宋体" w:cs="宋体"/>
          <w:sz w:val="24"/>
        </w:rPr>
        <w:t>——获证客户发生了与违反国家法律法规的重大事故，反映出获证客户的体系建立及运行存在重大缺陷。</w:t>
      </w:r>
    </w:p>
    <w:p>
      <w:pPr>
        <w:numPr>
          <w:ilvl w:val="0"/>
          <w:numId w:val="22"/>
        </w:numPr>
        <w:spacing w:line="360" w:lineRule="auto"/>
        <w:ind w:left="851" w:hanging="425"/>
        <w:rPr>
          <w:rFonts w:ascii="宋体" w:hAnsi="宋体"/>
          <w:sz w:val="24"/>
        </w:rPr>
      </w:pPr>
      <w:r>
        <w:rPr>
          <w:rFonts w:hint="eastAsia" w:ascii="宋体" w:hAnsi="宋体"/>
          <w:sz w:val="24"/>
        </w:rPr>
        <w:t>获证客户于获证期间在认证范围内发生重大事故被媒体曝光、或未查明原因和采取补救措施；</w:t>
      </w:r>
    </w:p>
    <w:p>
      <w:pPr>
        <w:spacing w:line="360" w:lineRule="auto"/>
        <w:rPr>
          <w:rFonts w:ascii="宋体" w:hAnsi="宋体" w:cs="宋体"/>
          <w:sz w:val="24"/>
        </w:rPr>
      </w:pPr>
      <w:r>
        <w:rPr>
          <w:rFonts w:hint="eastAsia" w:ascii="宋体" w:hAnsi="宋体" w:cs="宋体"/>
          <w:sz w:val="24"/>
        </w:rPr>
        <w:t>——其他原因需要暂停证书。</w:t>
      </w:r>
    </w:p>
    <w:p>
      <w:pPr>
        <w:spacing w:line="360" w:lineRule="auto"/>
        <w:rPr>
          <w:rFonts w:ascii="宋体" w:hAnsi="宋体"/>
          <w:bCs/>
          <w:sz w:val="24"/>
        </w:rPr>
      </w:pPr>
      <w:r>
        <w:rPr>
          <w:rFonts w:hint="eastAsia" w:ascii="宋体" w:hAnsi="宋体"/>
          <w:bCs/>
          <w:sz w:val="24"/>
        </w:rPr>
        <w:t>6.7.2 暂停认证资格的程序</w:t>
      </w:r>
    </w:p>
    <w:p>
      <w:pPr>
        <w:numPr>
          <w:ilvl w:val="0"/>
          <w:numId w:val="23"/>
        </w:numPr>
        <w:spacing w:line="360" w:lineRule="auto"/>
        <w:ind w:left="851" w:hanging="425"/>
        <w:rPr>
          <w:rFonts w:hint="eastAsia" w:ascii="宋体" w:hAnsi="宋体"/>
          <w:sz w:val="24"/>
        </w:rPr>
      </w:pPr>
      <w:r>
        <w:rPr>
          <w:rFonts w:hint="eastAsia" w:ascii="宋体" w:hAnsi="宋体"/>
          <w:sz w:val="24"/>
        </w:rPr>
        <w:t>CQM提出对获证客户暂停全部或部分认证范围内认证资格的建议，并提供理由和证据,或由获证客户向CQM提出暂停认证资格的申请；</w:t>
      </w:r>
    </w:p>
    <w:p>
      <w:pPr>
        <w:numPr>
          <w:ilvl w:val="0"/>
          <w:numId w:val="23"/>
        </w:numPr>
        <w:spacing w:line="360" w:lineRule="auto"/>
        <w:ind w:left="851" w:hanging="425"/>
        <w:rPr>
          <w:rFonts w:hint="eastAsia" w:ascii="宋体" w:hAnsi="宋体"/>
          <w:sz w:val="24"/>
        </w:rPr>
      </w:pPr>
      <w:r>
        <w:rPr>
          <w:rFonts w:hint="eastAsia" w:ascii="宋体" w:hAnsi="宋体"/>
          <w:sz w:val="24"/>
        </w:rPr>
        <w:t>必要时，CQM与获证客户沟通，核实证据；</w:t>
      </w:r>
    </w:p>
    <w:p>
      <w:pPr>
        <w:numPr>
          <w:ilvl w:val="0"/>
          <w:numId w:val="23"/>
        </w:numPr>
        <w:spacing w:line="360" w:lineRule="auto"/>
        <w:ind w:left="851" w:hanging="425"/>
        <w:rPr>
          <w:rFonts w:hint="eastAsia" w:ascii="宋体" w:hAnsi="宋体"/>
          <w:sz w:val="24"/>
        </w:rPr>
      </w:pPr>
      <w:r>
        <w:rPr>
          <w:rFonts w:hint="eastAsia" w:ascii="宋体" w:hAnsi="宋体"/>
          <w:sz w:val="24"/>
        </w:rPr>
        <w:t>经CQM审定，认为获证客户在认证范围内全部或部分不再持续满足认证要求，但仍然有可能在短期内采取纠正措施的，同意批准暂停全部或部分认证范围的认证资格，并确定暂停期限，向获证客户颁发《认证处置决定通知书》并公告；</w:t>
      </w:r>
    </w:p>
    <w:p>
      <w:pPr>
        <w:numPr>
          <w:ilvl w:val="0"/>
          <w:numId w:val="23"/>
        </w:numPr>
        <w:spacing w:line="360" w:lineRule="auto"/>
        <w:ind w:left="851" w:hanging="425"/>
        <w:rPr>
          <w:rFonts w:hint="eastAsia" w:ascii="宋体" w:hAnsi="宋体"/>
          <w:sz w:val="24"/>
        </w:rPr>
      </w:pPr>
      <w:r>
        <w:rPr>
          <w:rFonts w:hint="eastAsia" w:ascii="宋体" w:hAnsi="宋体"/>
          <w:sz w:val="24"/>
        </w:rPr>
        <w:t>获证客户按照《管理体系认证证书和认证标志、认可标识使用规则》停止使用认证证书和认证标志, 在暂停期间，客户的数据安全风险管理认证暂时无效。</w:t>
      </w:r>
    </w:p>
    <w:p>
      <w:pPr>
        <w:spacing w:line="360" w:lineRule="auto"/>
        <w:rPr>
          <w:rFonts w:ascii="宋体" w:hAnsi="宋体"/>
          <w:b/>
          <w:sz w:val="24"/>
        </w:rPr>
      </w:pPr>
      <w:r>
        <w:rPr>
          <w:rFonts w:hint="eastAsia" w:ascii="宋体" w:hAnsi="宋体"/>
          <w:b/>
          <w:sz w:val="24"/>
        </w:rPr>
        <w:t>6.8恢复认证资格的条件和程序</w:t>
      </w:r>
    </w:p>
    <w:p>
      <w:pPr>
        <w:spacing w:line="360" w:lineRule="auto"/>
        <w:rPr>
          <w:bCs/>
        </w:rPr>
      </w:pPr>
      <w:r>
        <w:rPr>
          <w:rFonts w:hint="eastAsia" w:ascii="宋体" w:hAnsi="宋体"/>
          <w:bCs/>
          <w:sz w:val="24"/>
        </w:rPr>
        <w:t>6.8.1 恢复认证资格的条件</w:t>
      </w:r>
    </w:p>
    <w:p>
      <w:pPr>
        <w:spacing w:line="360" w:lineRule="auto"/>
        <w:ind w:firstLine="540" w:firstLineChars="225"/>
        <w:rPr>
          <w:rFonts w:ascii="宋体" w:hAnsi="宋体"/>
          <w:bCs/>
          <w:sz w:val="24"/>
        </w:rPr>
      </w:pPr>
      <w:r>
        <w:rPr>
          <w:rFonts w:hint="eastAsia" w:ascii="宋体" w:hAnsi="宋体"/>
          <w:bCs/>
          <w:sz w:val="24"/>
        </w:rPr>
        <w:t>获证客户已针对暂停认证资格的原因采取了有效的纠正措施，产生原因已经消除，认证资格的恢复符合相关的认证要求，</w:t>
      </w:r>
      <w:r>
        <w:rPr>
          <w:rFonts w:hint="eastAsia" w:ascii="宋体" w:hAnsi="宋体"/>
          <w:bCs/>
          <w:color w:val="000000"/>
          <w:sz w:val="24"/>
        </w:rPr>
        <w:t>同时已证实在暂停期内没有使用、引用认证资格（如广告宣传）和使用认证标志。</w:t>
      </w:r>
    </w:p>
    <w:p>
      <w:pPr>
        <w:tabs>
          <w:tab w:val="left" w:pos="900"/>
        </w:tabs>
        <w:spacing w:line="360" w:lineRule="auto"/>
        <w:rPr>
          <w:rFonts w:ascii="宋体" w:hAnsi="宋体"/>
          <w:sz w:val="24"/>
        </w:rPr>
      </w:pPr>
      <w:r>
        <w:rPr>
          <w:rFonts w:hint="eastAsia" w:ascii="宋体" w:hAnsi="宋体"/>
          <w:sz w:val="24"/>
        </w:rPr>
        <w:t>6.8.2 恢复认证资格的程序</w:t>
      </w:r>
    </w:p>
    <w:p>
      <w:pPr>
        <w:numPr>
          <w:ilvl w:val="0"/>
          <w:numId w:val="24"/>
        </w:numPr>
        <w:tabs>
          <w:tab w:val="left" w:pos="720"/>
          <w:tab w:val="clear" w:pos="1082"/>
        </w:tabs>
        <w:spacing w:line="360" w:lineRule="auto"/>
        <w:ind w:left="720"/>
        <w:rPr>
          <w:rFonts w:ascii="宋体" w:hAnsi="宋体"/>
          <w:bCs/>
          <w:sz w:val="24"/>
        </w:rPr>
      </w:pPr>
      <w:r>
        <w:rPr>
          <w:rFonts w:hint="eastAsia" w:ascii="宋体" w:hAnsi="宋体"/>
          <w:bCs/>
          <w:sz w:val="24"/>
        </w:rPr>
        <w:t>在确定的认证资格暂停限期结束前，根据暂停原因，获证客户在规定期限内向CQM提出恢复认证资格的《恢复使用认证证书和认证标志的申请书》；</w:t>
      </w:r>
    </w:p>
    <w:p>
      <w:pPr>
        <w:numPr>
          <w:ilvl w:val="0"/>
          <w:numId w:val="24"/>
        </w:numPr>
        <w:tabs>
          <w:tab w:val="left" w:pos="720"/>
          <w:tab w:val="clear" w:pos="1082"/>
        </w:tabs>
        <w:spacing w:line="360" w:lineRule="auto"/>
        <w:ind w:left="720"/>
        <w:rPr>
          <w:rFonts w:ascii="宋体" w:hAnsi="宋体"/>
          <w:bCs/>
          <w:sz w:val="24"/>
        </w:rPr>
      </w:pPr>
      <w:r>
        <w:rPr>
          <w:rFonts w:hint="eastAsia" w:ascii="宋体" w:hAnsi="宋体"/>
          <w:bCs/>
          <w:sz w:val="24"/>
        </w:rPr>
        <w:t>需要时，获证客户应提交相关纠正措施和有效性验证材料；</w:t>
      </w:r>
    </w:p>
    <w:p>
      <w:pPr>
        <w:numPr>
          <w:ilvl w:val="0"/>
          <w:numId w:val="24"/>
        </w:numPr>
        <w:tabs>
          <w:tab w:val="left" w:pos="720"/>
          <w:tab w:val="clear" w:pos="1082"/>
        </w:tabs>
        <w:spacing w:line="360" w:lineRule="auto"/>
        <w:ind w:left="720"/>
        <w:rPr>
          <w:rFonts w:ascii="宋体" w:hAnsi="宋体"/>
          <w:bCs/>
          <w:sz w:val="24"/>
        </w:rPr>
      </w:pPr>
      <w:r>
        <w:rPr>
          <w:rFonts w:hint="eastAsia" w:ascii="宋体" w:hAnsi="宋体"/>
          <w:bCs/>
          <w:sz w:val="24"/>
        </w:rPr>
        <w:t>经CQM审定，确认获证客户在暂停认证资格的认证范围内已恢复符合相关的认证要求，作出同意恢复认证资格的结论，颁发</w:t>
      </w:r>
      <w:r>
        <w:rPr>
          <w:rFonts w:hint="eastAsia" w:ascii="宋体" w:hAnsi="宋体"/>
          <w:sz w:val="24"/>
        </w:rPr>
        <w:t>《恢复使用认证证书和标志的通知》并公告。</w:t>
      </w:r>
    </w:p>
    <w:bookmarkEnd w:id="57"/>
    <w:bookmarkEnd w:id="58"/>
    <w:bookmarkEnd w:id="59"/>
    <w:bookmarkEnd w:id="60"/>
    <w:bookmarkEnd w:id="61"/>
    <w:bookmarkEnd w:id="62"/>
    <w:bookmarkEnd w:id="63"/>
    <w:p>
      <w:pPr>
        <w:spacing w:line="360" w:lineRule="auto"/>
        <w:rPr>
          <w:rFonts w:ascii="宋体" w:hAnsi="宋体"/>
          <w:b/>
          <w:sz w:val="24"/>
        </w:rPr>
      </w:pPr>
      <w:r>
        <w:rPr>
          <w:rFonts w:hint="eastAsia" w:ascii="宋体" w:hAnsi="宋体"/>
          <w:b/>
          <w:sz w:val="24"/>
        </w:rPr>
        <w:t>6.9撤销认证资格的条件和程序</w:t>
      </w:r>
    </w:p>
    <w:p>
      <w:pPr>
        <w:spacing w:line="360" w:lineRule="auto"/>
        <w:rPr>
          <w:rFonts w:ascii="宋体" w:hAnsi="宋体"/>
          <w:bCs/>
          <w:sz w:val="24"/>
        </w:rPr>
      </w:pPr>
      <w:r>
        <w:rPr>
          <w:rFonts w:hint="eastAsia" w:ascii="宋体" w:hAnsi="宋体"/>
          <w:bCs/>
          <w:sz w:val="24"/>
        </w:rPr>
        <w:t>6.9.1 撤销认证资格的条件</w:t>
      </w:r>
    </w:p>
    <w:p>
      <w:pPr>
        <w:spacing w:line="360" w:lineRule="auto"/>
        <w:ind w:firstLine="480"/>
        <w:rPr>
          <w:rFonts w:ascii="宋体" w:hAnsi="宋体"/>
          <w:color w:val="000000"/>
          <w:sz w:val="24"/>
        </w:rPr>
      </w:pPr>
      <w:r>
        <w:rPr>
          <w:rFonts w:hint="eastAsia" w:ascii="宋体" w:hAnsi="宋体"/>
          <w:iCs/>
          <w:sz w:val="24"/>
        </w:rPr>
        <w:t>符合下列条件之一的获证客户，CQM将撤销其认证证书</w:t>
      </w:r>
      <w:r>
        <w:rPr>
          <w:rFonts w:hint="eastAsia" w:ascii="宋体" w:hAnsi="宋体"/>
          <w:color w:val="000000"/>
          <w:sz w:val="24"/>
        </w:rPr>
        <w:t>：</w:t>
      </w:r>
    </w:p>
    <w:p>
      <w:pPr>
        <w:spacing w:line="360" w:lineRule="auto"/>
        <w:rPr>
          <w:rFonts w:ascii="宋体" w:hAnsi="宋体"/>
          <w:bCs/>
          <w:sz w:val="24"/>
        </w:rPr>
      </w:pPr>
      <w:r>
        <w:rPr>
          <w:rFonts w:hint="eastAsia" w:ascii="宋体" w:hAnsi="宋体"/>
          <w:color w:val="000000"/>
          <w:sz w:val="24"/>
        </w:rPr>
        <w:t>——</w:t>
      </w:r>
      <w:r>
        <w:rPr>
          <w:rFonts w:hint="eastAsia" w:ascii="宋体" w:hAnsi="宋体"/>
          <w:bCs/>
          <w:sz w:val="24"/>
        </w:rPr>
        <w:t>获证客户审核未通过。</w:t>
      </w:r>
    </w:p>
    <w:p>
      <w:pPr>
        <w:spacing w:line="360" w:lineRule="auto"/>
        <w:rPr>
          <w:rFonts w:ascii="宋体" w:hAnsi="宋体"/>
          <w:bCs/>
          <w:sz w:val="24"/>
        </w:rPr>
      </w:pPr>
      <w:r>
        <w:rPr>
          <w:rFonts w:hint="eastAsia" w:ascii="宋体" w:hAnsi="宋体"/>
          <w:bCs/>
          <w:sz w:val="24"/>
        </w:rPr>
        <w:t>——获证客户被注销或撤销法律地位证明文件。</w:t>
      </w:r>
    </w:p>
    <w:p>
      <w:pPr>
        <w:spacing w:line="360" w:lineRule="auto"/>
        <w:rPr>
          <w:rFonts w:ascii="宋体" w:hAnsi="宋体"/>
          <w:bCs/>
          <w:sz w:val="24"/>
        </w:rPr>
      </w:pPr>
      <w:r>
        <w:rPr>
          <w:rFonts w:hint="eastAsia" w:ascii="宋体" w:hAnsi="宋体"/>
          <w:bCs/>
          <w:sz w:val="24"/>
        </w:rPr>
        <w:t>——获证客户拒绝配合认证监管部门实施的监督检查，或者对有关事项的询问和调查提供了虚假材料或信息。</w:t>
      </w:r>
    </w:p>
    <w:p>
      <w:pPr>
        <w:numPr>
          <w:ilvl w:val="0"/>
          <w:numId w:val="25"/>
        </w:numPr>
        <w:tabs>
          <w:tab w:val="left" w:pos="720"/>
          <w:tab w:val="clear" w:pos="1082"/>
        </w:tabs>
        <w:spacing w:line="360" w:lineRule="auto"/>
        <w:ind w:left="720"/>
        <w:rPr>
          <w:rFonts w:ascii="宋体" w:hAnsi="宋体"/>
          <w:bCs/>
          <w:sz w:val="24"/>
        </w:rPr>
      </w:pPr>
      <w:r>
        <w:rPr>
          <w:rFonts w:hint="eastAsia" w:ascii="宋体" w:hAnsi="宋体"/>
          <w:bCs/>
          <w:sz w:val="24"/>
        </w:rPr>
        <w:t>被国家行政主管部门列入信用严重失信企业名单。</w:t>
      </w:r>
    </w:p>
    <w:p>
      <w:pPr>
        <w:spacing w:line="360" w:lineRule="auto"/>
        <w:rPr>
          <w:rFonts w:ascii="宋体" w:hAnsi="宋体"/>
          <w:bCs/>
          <w:sz w:val="24"/>
        </w:rPr>
      </w:pPr>
      <w:r>
        <w:rPr>
          <w:rFonts w:hint="eastAsia" w:ascii="宋体" w:hAnsi="宋体"/>
          <w:bCs/>
          <w:sz w:val="24"/>
        </w:rPr>
        <w:t>——被相关政府主管部门认定存在严重违法失信行为的。</w:t>
      </w:r>
    </w:p>
    <w:p>
      <w:pPr>
        <w:spacing w:line="360" w:lineRule="auto"/>
        <w:rPr>
          <w:rFonts w:ascii="宋体" w:hAnsi="宋体"/>
          <w:bCs/>
          <w:sz w:val="24"/>
        </w:rPr>
      </w:pPr>
      <w:r>
        <w:rPr>
          <w:rFonts w:hint="eastAsia" w:ascii="宋体" w:hAnsi="宋体"/>
          <w:bCs/>
          <w:sz w:val="24"/>
        </w:rPr>
        <w:t>——</w:t>
      </w:r>
      <w:r>
        <w:rPr>
          <w:rFonts w:hint="eastAsia" w:ascii="宋体" w:hAnsi="宋体"/>
          <w:bCs/>
          <w:iCs/>
          <w:sz w:val="24"/>
        </w:rPr>
        <w:t>获证客户出现重大事故，经执法监管部门确认是获证客户违规造成。</w:t>
      </w:r>
    </w:p>
    <w:p>
      <w:pPr>
        <w:numPr>
          <w:ilvl w:val="0"/>
          <w:numId w:val="26"/>
        </w:numPr>
        <w:tabs>
          <w:tab w:val="left" w:pos="720"/>
          <w:tab w:val="clear" w:pos="1082"/>
        </w:tabs>
        <w:spacing w:line="360" w:lineRule="auto"/>
        <w:ind w:left="720"/>
        <w:rPr>
          <w:rFonts w:ascii="宋体" w:hAnsi="宋体"/>
          <w:bCs/>
          <w:sz w:val="24"/>
        </w:rPr>
      </w:pPr>
      <w:r>
        <w:rPr>
          <w:rFonts w:hint="eastAsia" w:ascii="宋体" w:hAnsi="宋体"/>
          <w:bCs/>
          <w:sz w:val="24"/>
        </w:rPr>
        <w:t>获证客户于获证期间在认证范围内发生国家抽检不合格，并造成严重影响。</w:t>
      </w:r>
    </w:p>
    <w:p>
      <w:pPr>
        <w:numPr>
          <w:ilvl w:val="0"/>
          <w:numId w:val="26"/>
        </w:numPr>
        <w:tabs>
          <w:tab w:val="left" w:pos="720"/>
          <w:tab w:val="clear" w:pos="1082"/>
        </w:tabs>
        <w:spacing w:line="360" w:lineRule="auto"/>
        <w:ind w:left="720"/>
        <w:rPr>
          <w:rFonts w:ascii="宋体" w:hAnsi="宋体"/>
          <w:bCs/>
          <w:sz w:val="24"/>
        </w:rPr>
      </w:pPr>
      <w:r>
        <w:rPr>
          <w:rFonts w:hint="eastAsia" w:ascii="宋体" w:hAnsi="宋体"/>
          <w:bCs/>
          <w:sz w:val="24"/>
        </w:rPr>
        <w:t>拒绝接受国家行政主管部门监督抽查的。</w:t>
      </w:r>
    </w:p>
    <w:p>
      <w:pPr>
        <w:spacing w:line="360" w:lineRule="auto"/>
        <w:rPr>
          <w:rFonts w:ascii="宋体" w:hAnsi="宋体"/>
          <w:bCs/>
          <w:sz w:val="24"/>
        </w:rPr>
      </w:pPr>
      <w:r>
        <w:rPr>
          <w:rFonts w:hint="eastAsia" w:ascii="宋体" w:hAnsi="宋体"/>
          <w:bCs/>
          <w:sz w:val="24"/>
        </w:rPr>
        <w:t>——获证客户在证书有效期间有其他严重违反法律法规行为，受到相关执法监管部门处罚。</w:t>
      </w:r>
    </w:p>
    <w:p>
      <w:pPr>
        <w:pStyle w:val="9"/>
        <w:spacing w:line="360" w:lineRule="auto"/>
        <w:ind w:left="0" w:leftChars="0"/>
        <w:rPr>
          <w:rFonts w:ascii="宋体" w:hAnsi="宋体"/>
          <w:bCs/>
          <w:iCs/>
          <w:sz w:val="24"/>
        </w:rPr>
      </w:pPr>
      <w:r>
        <w:rPr>
          <w:rFonts w:hint="eastAsia" w:ascii="宋体" w:hAnsi="宋体"/>
          <w:bCs/>
          <w:iCs/>
          <w:sz w:val="24"/>
        </w:rPr>
        <w:t>——获证客户暂停认证证书的期限已满但导致暂停的问题未得到解决或纠正（包括持有的行政许可证明、资质证书、强制性认证证书等已经过期失效但申请未获批准）。</w:t>
      </w:r>
    </w:p>
    <w:p>
      <w:pPr>
        <w:pStyle w:val="9"/>
        <w:spacing w:line="360" w:lineRule="auto"/>
        <w:ind w:left="0" w:leftChars="0"/>
        <w:rPr>
          <w:rFonts w:ascii="宋体" w:hAnsi="宋体"/>
          <w:bCs/>
          <w:iCs/>
          <w:sz w:val="24"/>
        </w:rPr>
      </w:pPr>
      <w:r>
        <w:rPr>
          <w:rFonts w:hint="eastAsia" w:ascii="宋体" w:hAnsi="宋体"/>
          <w:bCs/>
          <w:iCs/>
          <w:sz w:val="24"/>
        </w:rPr>
        <w:t>——获证客户没有运行</w:t>
      </w:r>
      <w:r>
        <w:rPr>
          <w:rFonts w:hint="eastAsia" w:ascii="宋体" w:hAnsi="宋体" w:cs="宋体"/>
          <w:sz w:val="24"/>
        </w:rPr>
        <w:t>数据安全风险</w:t>
      </w:r>
      <w:r>
        <w:rPr>
          <w:rFonts w:hint="eastAsia" w:ascii="宋体" w:hAnsi="宋体"/>
          <w:bCs/>
          <w:iCs/>
          <w:sz w:val="24"/>
        </w:rPr>
        <w:t>管理要求或者已不具备运行条件。</w:t>
      </w:r>
    </w:p>
    <w:p>
      <w:pPr>
        <w:pStyle w:val="9"/>
        <w:spacing w:line="360" w:lineRule="auto"/>
        <w:ind w:left="0" w:leftChars="0"/>
        <w:rPr>
          <w:rFonts w:ascii="宋体" w:hAnsi="宋体"/>
          <w:bCs/>
          <w:iCs/>
          <w:sz w:val="24"/>
        </w:rPr>
      </w:pPr>
      <w:r>
        <w:rPr>
          <w:rFonts w:hint="eastAsia" w:ascii="宋体" w:hAnsi="宋体"/>
          <w:bCs/>
          <w:iCs/>
          <w:sz w:val="24"/>
        </w:rPr>
        <w:t>——获证客户不按相关规定正确引用和宣传获得的认证信息，造成严重影响或后果，或者认证机构已要求其纠正但超过2个月仍未纠正。</w:t>
      </w:r>
    </w:p>
    <w:p>
      <w:pPr>
        <w:pStyle w:val="9"/>
        <w:spacing w:line="360" w:lineRule="auto"/>
        <w:ind w:left="0" w:leftChars="0"/>
        <w:rPr>
          <w:rFonts w:ascii="宋体" w:hAnsi="宋体"/>
          <w:bCs/>
          <w:iCs/>
          <w:sz w:val="24"/>
        </w:rPr>
      </w:pPr>
      <w:r>
        <w:rPr>
          <w:rFonts w:hint="eastAsia" w:ascii="宋体" w:hAnsi="宋体"/>
          <w:bCs/>
          <w:iCs/>
          <w:sz w:val="24"/>
        </w:rPr>
        <w:t>——获证客户因换发新证而撤销旧证书。</w:t>
      </w:r>
    </w:p>
    <w:p>
      <w:pPr>
        <w:pStyle w:val="9"/>
        <w:spacing w:line="360" w:lineRule="auto"/>
        <w:ind w:left="0" w:leftChars="0"/>
        <w:rPr>
          <w:rFonts w:ascii="宋体" w:hAnsi="宋体"/>
          <w:bCs/>
          <w:iCs/>
          <w:sz w:val="24"/>
        </w:rPr>
      </w:pPr>
      <w:r>
        <w:rPr>
          <w:rFonts w:hint="eastAsia" w:ascii="宋体" w:hAnsi="宋体"/>
          <w:bCs/>
          <w:iCs/>
          <w:sz w:val="24"/>
        </w:rPr>
        <w:t>——获证客户不承担、履行认证合同约定的责任和义务。</w:t>
      </w:r>
    </w:p>
    <w:p>
      <w:pPr>
        <w:pStyle w:val="9"/>
        <w:spacing w:line="360" w:lineRule="auto"/>
        <w:ind w:left="0" w:leftChars="0"/>
        <w:rPr>
          <w:rFonts w:ascii="宋体" w:hAnsi="宋体"/>
          <w:bCs/>
          <w:iCs/>
          <w:sz w:val="24"/>
        </w:rPr>
      </w:pPr>
      <w:r>
        <w:rPr>
          <w:rFonts w:hint="eastAsia" w:ascii="宋体" w:hAnsi="宋体"/>
          <w:bCs/>
          <w:iCs/>
          <w:sz w:val="24"/>
        </w:rPr>
        <w:t>——获证客户主动放弃认证。</w:t>
      </w:r>
    </w:p>
    <w:p>
      <w:pPr>
        <w:pStyle w:val="9"/>
        <w:spacing w:line="360" w:lineRule="auto"/>
        <w:ind w:left="0" w:leftChars="0"/>
        <w:rPr>
          <w:rFonts w:ascii="宋体" w:hAnsi="宋体"/>
          <w:iCs/>
          <w:sz w:val="24"/>
        </w:rPr>
      </w:pPr>
      <w:r>
        <w:rPr>
          <w:rFonts w:hint="eastAsia" w:ascii="宋体" w:hAnsi="宋体"/>
          <w:bCs/>
          <w:iCs/>
          <w:sz w:val="24"/>
        </w:rPr>
        <w:t>——其他原因需要撤销证书。</w:t>
      </w:r>
    </w:p>
    <w:p>
      <w:pPr>
        <w:spacing w:line="360" w:lineRule="auto"/>
        <w:rPr>
          <w:rFonts w:ascii="宋体" w:hAnsi="宋体"/>
          <w:bCs/>
          <w:sz w:val="24"/>
        </w:rPr>
      </w:pPr>
      <w:r>
        <w:rPr>
          <w:rFonts w:hint="eastAsia" w:ascii="宋体" w:hAnsi="宋体"/>
          <w:bCs/>
          <w:sz w:val="24"/>
        </w:rPr>
        <w:t>6.9.2 撤销认证资格的程序</w:t>
      </w:r>
    </w:p>
    <w:p>
      <w:pPr>
        <w:spacing w:line="360" w:lineRule="auto"/>
        <w:ind w:firstLine="480" w:firstLineChars="200"/>
        <w:jc w:val="left"/>
        <w:rPr>
          <w:rFonts w:ascii="宋体" w:hAnsi="宋体"/>
          <w:sz w:val="24"/>
        </w:rPr>
      </w:pPr>
      <w:r>
        <w:rPr>
          <w:rFonts w:hint="eastAsia" w:ascii="宋体" w:hAnsi="宋体"/>
          <w:sz w:val="24"/>
        </w:rPr>
        <w:t>经</w:t>
      </w:r>
      <w:r>
        <w:rPr>
          <w:rFonts w:hint="eastAsia" w:ascii="宋体" w:hAnsi="宋体"/>
          <w:bCs/>
        </w:rPr>
        <w:t>CQM</w:t>
      </w:r>
      <w:r>
        <w:rPr>
          <w:rFonts w:hint="eastAsia" w:ascii="宋体" w:hAnsi="宋体"/>
          <w:sz w:val="24"/>
        </w:rPr>
        <w:t>核实与审定，确认获证客户在认证范围内的管理体系不再满足认证要求，作出撤销认证资格的结论，发放《</w:t>
      </w:r>
      <w:r>
        <w:rPr>
          <w:rFonts w:hint="eastAsia" w:ascii="宋体" w:hAnsi="宋体"/>
          <w:bCs/>
          <w:sz w:val="24"/>
        </w:rPr>
        <w:t>认证处置决定通知书》</w:t>
      </w:r>
      <w:r>
        <w:rPr>
          <w:rFonts w:hint="eastAsia" w:ascii="宋体" w:hAnsi="宋体"/>
          <w:sz w:val="24"/>
        </w:rPr>
        <w:t>并公告，收回认证证书，认证客户不得再使用认证证书和认证标志。</w:t>
      </w:r>
    </w:p>
    <w:p>
      <w:pPr>
        <w:pStyle w:val="2"/>
        <w:keepNext/>
        <w:keepLines/>
        <w:pageBreakBefore w:val="0"/>
        <w:widowControl w:val="0"/>
        <w:kinsoku/>
        <w:wordWrap/>
        <w:overflowPunct/>
        <w:topLinePunct w:val="0"/>
        <w:autoSpaceDE/>
        <w:autoSpaceDN/>
        <w:bidi w:val="0"/>
        <w:adjustRightInd/>
        <w:snapToGrid w:val="0"/>
        <w:spacing w:before="313" w:beforeLines="100" w:after="313" w:afterLines="100" w:line="240" w:lineRule="auto"/>
        <w:textAlignment w:val="auto"/>
        <w:rPr>
          <w:rFonts w:hint="eastAsia"/>
        </w:rPr>
      </w:pPr>
      <w:bookmarkStart w:id="67" w:name="_Toc85103636"/>
      <w:bookmarkStart w:id="68" w:name="_Toc185325639"/>
      <w:bookmarkStart w:id="69" w:name="_Toc85105525"/>
      <w:bookmarkStart w:id="70" w:name="_Toc85256261"/>
      <w:bookmarkStart w:id="71" w:name="_Toc611"/>
      <w:r>
        <w:rPr>
          <w:rFonts w:hint="eastAsia"/>
        </w:rPr>
        <w:t>7 认证证书</w:t>
      </w:r>
      <w:bookmarkEnd w:id="67"/>
      <w:bookmarkEnd w:id="68"/>
      <w:bookmarkEnd w:id="69"/>
      <w:bookmarkEnd w:id="70"/>
      <w:bookmarkEnd w:id="71"/>
    </w:p>
    <w:p>
      <w:pPr>
        <w:spacing w:line="360" w:lineRule="auto"/>
        <w:rPr>
          <w:rFonts w:ascii="宋体" w:hAnsi="宋体"/>
          <w:sz w:val="24"/>
        </w:rPr>
      </w:pPr>
      <w:r>
        <w:rPr>
          <w:rFonts w:hint="eastAsia" w:ascii="宋体" w:hAnsi="宋体"/>
          <w:b/>
          <w:sz w:val="24"/>
        </w:rPr>
        <w:t>7.1认证证书</w:t>
      </w:r>
    </w:p>
    <w:p>
      <w:pPr>
        <w:spacing w:line="360" w:lineRule="auto"/>
        <w:ind w:firstLine="480" w:firstLineChars="200"/>
        <w:rPr>
          <w:rFonts w:ascii="宋体" w:hAnsi="宋体"/>
          <w:sz w:val="24"/>
        </w:rPr>
      </w:pPr>
      <w:r>
        <w:rPr>
          <w:rFonts w:hint="eastAsia" w:ascii="宋体" w:hAnsi="宋体" w:cs="宋体"/>
          <w:kern w:val="0"/>
          <w:sz w:val="24"/>
        </w:rPr>
        <w:t>数据安全风险管理</w:t>
      </w:r>
      <w:r>
        <w:rPr>
          <w:rFonts w:hint="eastAsia" w:ascii="宋体" w:hAnsi="宋体"/>
          <w:sz w:val="24"/>
        </w:rPr>
        <w:t>认证证书有效期为3年；通常情况下，获证客户应在当前认证证书截止期前至少3个月接受再认证审核或已做好接受再认证审核的准备。否则，因获证客户接受再认证审核时间过晚或因不符合的关闭导致CQM的认证决定无法在原认证证书到期前作出时，再认证证书有效期将不足3年。</w:t>
      </w:r>
    </w:p>
    <w:p>
      <w:pPr>
        <w:spacing w:line="360" w:lineRule="auto"/>
        <w:rPr>
          <w:rFonts w:ascii="宋体" w:hAnsi="宋体"/>
          <w:sz w:val="24"/>
        </w:rPr>
      </w:pPr>
      <w:r>
        <w:rPr>
          <w:rFonts w:hint="eastAsia" w:ascii="宋体" w:hAnsi="宋体"/>
          <w:b/>
          <w:sz w:val="24"/>
        </w:rPr>
        <w:t>7.2认证证书的使用</w:t>
      </w:r>
    </w:p>
    <w:p>
      <w:pPr>
        <w:spacing w:line="360" w:lineRule="auto"/>
        <w:ind w:firstLine="480" w:firstLineChars="200"/>
        <w:rPr>
          <w:rFonts w:ascii="宋体" w:hAnsi="宋体"/>
          <w:sz w:val="24"/>
        </w:rPr>
      </w:pPr>
      <w:r>
        <w:rPr>
          <w:rFonts w:hint="eastAsia" w:ascii="宋体" w:hAnsi="宋体"/>
          <w:sz w:val="24"/>
        </w:rPr>
        <w:t>获证客户应建立认证证书的使用方案，获证后按照《管理体系认证证书、标志标识使用规则</w:t>
      </w:r>
      <w:r>
        <w:rPr>
          <w:rFonts w:ascii="宋体" w:hAnsi="宋体"/>
          <w:sz w:val="24"/>
        </w:rPr>
        <w:t>》</w:t>
      </w:r>
      <w:r>
        <w:rPr>
          <w:rFonts w:hint="eastAsia" w:ascii="宋体" w:hAnsi="宋体"/>
          <w:sz w:val="24"/>
        </w:rPr>
        <w:t>正确使用认证证书。</w:t>
      </w:r>
    </w:p>
    <w:p>
      <w:pPr>
        <w:spacing w:line="360" w:lineRule="auto"/>
        <w:rPr>
          <w:rFonts w:ascii="宋体" w:hAnsi="宋体"/>
          <w:sz w:val="24"/>
        </w:rPr>
      </w:pPr>
      <w:r>
        <w:rPr>
          <w:rFonts w:hint="eastAsia" w:ascii="宋体" w:hAnsi="宋体"/>
          <w:b/>
          <w:sz w:val="24"/>
        </w:rPr>
        <w:t>7.3认证证书的误用</w:t>
      </w:r>
    </w:p>
    <w:p>
      <w:pPr>
        <w:spacing w:line="360" w:lineRule="auto"/>
        <w:ind w:firstLine="480" w:firstLineChars="200"/>
        <w:rPr>
          <w:rFonts w:ascii="宋体" w:hAnsi="宋体"/>
          <w:bCs/>
          <w:sz w:val="24"/>
        </w:rPr>
      </w:pPr>
      <w:r>
        <w:rPr>
          <w:rFonts w:hint="eastAsia" w:ascii="宋体" w:hAnsi="宋体"/>
          <w:sz w:val="24"/>
        </w:rPr>
        <w:t>获证客户误用认证证书，可能导致认证资格的暂停或撤销，具体见《管理体系认证证书、标志标识使用规则</w:t>
      </w:r>
      <w:r>
        <w:rPr>
          <w:rFonts w:ascii="宋体" w:hAnsi="宋体"/>
          <w:sz w:val="24"/>
        </w:rPr>
        <w:t>》</w:t>
      </w:r>
      <w:r>
        <w:rPr>
          <w:rFonts w:hint="eastAsia" w:ascii="宋体" w:hAnsi="宋体"/>
          <w:sz w:val="24"/>
        </w:rPr>
        <w:t>中规定。</w:t>
      </w:r>
    </w:p>
    <w:p>
      <w:pPr>
        <w:spacing w:line="360" w:lineRule="auto"/>
        <w:ind w:firstLine="480" w:firstLineChars="200"/>
        <w:rPr>
          <w:rFonts w:ascii="宋体" w:hAnsi="宋体"/>
          <w:sz w:val="24"/>
        </w:rPr>
      </w:pPr>
      <w:r>
        <w:rPr>
          <w:rFonts w:hint="eastAsia" w:ascii="宋体" w:hAnsi="宋体"/>
          <w:sz w:val="24"/>
        </w:rPr>
        <w:t>获证客户一旦发现误用认证证书或认证标志，应立即采取纠正措施，并报告方圆审核管理部门。</w:t>
      </w:r>
      <w:bookmarkStart w:id="72" w:name="_Toc33600386"/>
      <w:bookmarkStart w:id="73" w:name="_Toc33600430"/>
      <w:bookmarkStart w:id="74" w:name="_Toc33599596"/>
      <w:bookmarkStart w:id="75" w:name="_Toc33599723"/>
    </w:p>
    <w:bookmarkEnd w:id="72"/>
    <w:bookmarkEnd w:id="73"/>
    <w:bookmarkEnd w:id="74"/>
    <w:bookmarkEnd w:id="75"/>
    <w:p>
      <w:pPr>
        <w:pStyle w:val="2"/>
        <w:keepNext/>
        <w:keepLines/>
        <w:pageBreakBefore w:val="0"/>
        <w:widowControl w:val="0"/>
        <w:kinsoku/>
        <w:wordWrap/>
        <w:overflowPunct/>
        <w:topLinePunct w:val="0"/>
        <w:autoSpaceDE/>
        <w:autoSpaceDN/>
        <w:bidi w:val="0"/>
        <w:adjustRightInd/>
        <w:snapToGrid w:val="0"/>
        <w:spacing w:before="313" w:beforeLines="100" w:after="313" w:afterLines="100" w:line="240" w:lineRule="auto"/>
        <w:textAlignment w:val="auto"/>
        <w:rPr>
          <w:rFonts w:hint="eastAsia"/>
        </w:rPr>
      </w:pPr>
      <w:bookmarkStart w:id="76" w:name="_Toc185325643"/>
      <w:bookmarkStart w:id="77" w:name="_Toc18904"/>
      <w:r>
        <w:rPr>
          <w:rFonts w:hint="eastAsia"/>
        </w:rPr>
        <w:t>8 获证客户的信息通报</w:t>
      </w:r>
      <w:bookmarkEnd w:id="76"/>
      <w:bookmarkEnd w:id="77"/>
    </w:p>
    <w:p>
      <w:pPr>
        <w:spacing w:line="360" w:lineRule="auto"/>
        <w:ind w:firstLine="480" w:firstLineChars="200"/>
        <w:rPr>
          <w:rFonts w:ascii="宋体" w:hAnsi="宋体"/>
          <w:sz w:val="24"/>
        </w:rPr>
      </w:pPr>
      <w:r>
        <w:rPr>
          <w:rFonts w:hint="eastAsia" w:ascii="宋体" w:hAnsi="宋体"/>
          <w:sz w:val="24"/>
        </w:rPr>
        <w:t>获证客户应建立向方圆通报最新信息的程序，并及时通报其重大投诉、国家监督检查结果、重大事故及获证客户变更的各种信息等。变更信息包括（但不限于）以下：</w:t>
      </w:r>
    </w:p>
    <w:p>
      <w:pPr>
        <w:numPr>
          <w:ilvl w:val="0"/>
          <w:numId w:val="27"/>
        </w:numPr>
        <w:spacing w:line="360" w:lineRule="auto"/>
        <w:ind w:left="840"/>
        <w:rPr>
          <w:rFonts w:ascii="宋体" w:hAnsi="宋体"/>
          <w:color w:val="000000"/>
          <w:sz w:val="24"/>
        </w:rPr>
      </w:pPr>
      <w:r>
        <w:rPr>
          <w:rFonts w:hint="eastAsia" w:ascii="宋体" w:hAnsi="宋体"/>
          <w:color w:val="000000"/>
          <w:sz w:val="24"/>
        </w:rPr>
        <w:t>组织名称，组织法人，隶属关系；</w:t>
      </w:r>
    </w:p>
    <w:p>
      <w:pPr>
        <w:numPr>
          <w:ilvl w:val="0"/>
          <w:numId w:val="27"/>
        </w:numPr>
        <w:spacing w:line="360" w:lineRule="auto"/>
        <w:ind w:left="840"/>
        <w:rPr>
          <w:rFonts w:ascii="宋体" w:hAnsi="宋体"/>
          <w:color w:val="000000"/>
          <w:sz w:val="24"/>
        </w:rPr>
      </w:pPr>
      <w:r>
        <w:rPr>
          <w:rFonts w:hint="eastAsia" w:ascii="宋体" w:hAnsi="宋体"/>
          <w:color w:val="000000"/>
          <w:sz w:val="24"/>
        </w:rPr>
        <w:t xml:space="preserve">联系人，联系方式(包括：电话、传真、手机)；        </w:t>
      </w:r>
    </w:p>
    <w:p>
      <w:pPr>
        <w:numPr>
          <w:ilvl w:val="0"/>
          <w:numId w:val="27"/>
        </w:numPr>
        <w:spacing w:line="360" w:lineRule="auto"/>
        <w:ind w:left="840"/>
        <w:rPr>
          <w:rFonts w:ascii="宋体" w:hAnsi="宋体"/>
          <w:color w:val="000000"/>
          <w:sz w:val="24"/>
        </w:rPr>
      </w:pPr>
      <w:r>
        <w:rPr>
          <w:rFonts w:hint="eastAsia" w:ascii="宋体" w:hAnsi="宋体"/>
          <w:color w:val="000000"/>
          <w:sz w:val="24"/>
        </w:rPr>
        <w:t xml:space="preserve">组织地址(包括：注册地址、认证地址)；   </w:t>
      </w:r>
    </w:p>
    <w:p>
      <w:pPr>
        <w:numPr>
          <w:ilvl w:val="0"/>
          <w:numId w:val="27"/>
        </w:numPr>
        <w:spacing w:line="360" w:lineRule="auto"/>
        <w:ind w:left="840"/>
        <w:rPr>
          <w:rFonts w:ascii="宋体" w:hAnsi="宋体"/>
          <w:color w:val="000000"/>
          <w:sz w:val="24"/>
        </w:rPr>
      </w:pPr>
      <w:r>
        <w:rPr>
          <w:rFonts w:hint="eastAsia" w:ascii="宋体" w:hAnsi="宋体"/>
          <w:color w:val="000000"/>
          <w:sz w:val="24"/>
        </w:rPr>
        <w:t xml:space="preserve">体系覆盖人数；         </w:t>
      </w:r>
    </w:p>
    <w:p>
      <w:pPr>
        <w:numPr>
          <w:ilvl w:val="0"/>
          <w:numId w:val="27"/>
        </w:numPr>
        <w:spacing w:line="360" w:lineRule="auto"/>
        <w:ind w:left="840"/>
        <w:rPr>
          <w:rFonts w:ascii="宋体" w:hAnsi="宋体"/>
          <w:color w:val="000000"/>
          <w:sz w:val="24"/>
        </w:rPr>
      </w:pPr>
      <w:r>
        <w:rPr>
          <w:rFonts w:hint="eastAsia" w:ascii="宋体" w:hAnsi="宋体"/>
          <w:color w:val="000000"/>
          <w:sz w:val="24"/>
        </w:rPr>
        <w:t xml:space="preserve">认证范围变化；  </w:t>
      </w:r>
    </w:p>
    <w:p>
      <w:pPr>
        <w:numPr>
          <w:ilvl w:val="0"/>
          <w:numId w:val="27"/>
        </w:numPr>
        <w:spacing w:line="360" w:lineRule="auto"/>
        <w:ind w:left="840"/>
        <w:rPr>
          <w:rFonts w:ascii="宋体" w:hAnsi="宋体"/>
          <w:color w:val="000000"/>
          <w:sz w:val="24"/>
        </w:rPr>
      </w:pPr>
      <w:r>
        <w:rPr>
          <w:rFonts w:hint="eastAsia" w:ascii="宋体" w:hAnsi="宋体"/>
          <w:color w:val="000000"/>
          <w:sz w:val="24"/>
        </w:rPr>
        <w:t xml:space="preserve">组织机构和职能分配；         </w:t>
      </w:r>
    </w:p>
    <w:p>
      <w:pPr>
        <w:numPr>
          <w:ilvl w:val="0"/>
          <w:numId w:val="27"/>
        </w:numPr>
        <w:spacing w:line="360" w:lineRule="auto"/>
        <w:ind w:left="840"/>
        <w:rPr>
          <w:rFonts w:ascii="宋体" w:hAnsi="宋体"/>
          <w:color w:val="000000"/>
          <w:sz w:val="24"/>
        </w:rPr>
      </w:pPr>
      <w:r>
        <w:rPr>
          <w:rFonts w:hint="eastAsia" w:ascii="宋体" w:hAnsi="宋体"/>
          <w:color w:val="000000"/>
          <w:sz w:val="24"/>
        </w:rPr>
        <w:t xml:space="preserve">证书表述的组织认证场所。   </w:t>
      </w:r>
    </w:p>
    <w:p>
      <w:pPr>
        <w:spacing w:line="360" w:lineRule="auto"/>
        <w:ind w:firstLine="480" w:firstLineChars="200"/>
        <w:rPr>
          <w:rFonts w:hint="eastAsia" w:ascii="宋体" w:hAnsi="宋体"/>
          <w:sz w:val="24"/>
        </w:rPr>
      </w:pPr>
      <w:bookmarkStart w:id="78" w:name="_Toc33600434"/>
      <w:bookmarkStart w:id="79" w:name="_Toc33600390"/>
      <w:bookmarkStart w:id="80" w:name="_Toc33599727"/>
      <w:bookmarkStart w:id="81" w:name="_Toc33599600"/>
      <w:r>
        <w:rPr>
          <w:rFonts w:hint="eastAsia" w:ascii="宋体" w:hAnsi="宋体"/>
          <w:sz w:val="24"/>
        </w:rPr>
        <w:t>当上述信息发生变更时，获证客户应填写《获证组织认证信息变更沟通单》，并及时反馈给CQM。变更信息反馈渠道及联系信息详见《获证组织认证信息变更沟通单》中的联系。</w:t>
      </w:r>
    </w:p>
    <w:bookmarkEnd w:id="78"/>
    <w:bookmarkEnd w:id="79"/>
    <w:bookmarkEnd w:id="80"/>
    <w:bookmarkEnd w:id="81"/>
    <w:p>
      <w:pPr>
        <w:pStyle w:val="2"/>
        <w:keepNext/>
        <w:keepLines/>
        <w:pageBreakBefore w:val="0"/>
        <w:widowControl w:val="0"/>
        <w:kinsoku/>
        <w:wordWrap/>
        <w:overflowPunct/>
        <w:topLinePunct w:val="0"/>
        <w:autoSpaceDE/>
        <w:autoSpaceDN/>
        <w:bidi w:val="0"/>
        <w:adjustRightInd/>
        <w:snapToGrid w:val="0"/>
        <w:spacing w:before="313" w:beforeLines="100" w:after="313" w:afterLines="100" w:line="240" w:lineRule="auto"/>
        <w:textAlignment w:val="auto"/>
        <w:rPr>
          <w:rFonts w:hint="eastAsia"/>
        </w:rPr>
      </w:pPr>
      <w:bookmarkStart w:id="82" w:name="_Toc33599740"/>
      <w:bookmarkStart w:id="83" w:name="_Toc33599613"/>
      <w:bookmarkStart w:id="84" w:name="_Toc33600403"/>
      <w:bookmarkStart w:id="85" w:name="_Toc33600447"/>
      <w:bookmarkStart w:id="86" w:name="_Toc85103645"/>
      <w:bookmarkStart w:id="87" w:name="_Toc185325644"/>
      <w:bookmarkStart w:id="88" w:name="_Toc85105535"/>
      <w:bookmarkStart w:id="89" w:name="_Toc85256271"/>
      <w:bookmarkStart w:id="90" w:name="_Toc11996"/>
      <w:r>
        <w:rPr>
          <w:rFonts w:hint="eastAsia"/>
        </w:rPr>
        <w:t>9 认证要求</w:t>
      </w:r>
      <w:bookmarkEnd w:id="82"/>
      <w:bookmarkEnd w:id="83"/>
      <w:bookmarkEnd w:id="84"/>
      <w:bookmarkEnd w:id="85"/>
      <w:r>
        <w:rPr>
          <w:rFonts w:hint="eastAsia"/>
        </w:rPr>
        <w:t>变更</w:t>
      </w:r>
      <w:bookmarkEnd w:id="86"/>
      <w:bookmarkEnd w:id="87"/>
      <w:bookmarkEnd w:id="88"/>
      <w:bookmarkEnd w:id="89"/>
      <w:r>
        <w:rPr>
          <w:rFonts w:hint="eastAsia"/>
        </w:rPr>
        <w:t>的条件和程序</w:t>
      </w:r>
      <w:bookmarkEnd w:id="90"/>
    </w:p>
    <w:p>
      <w:pPr>
        <w:spacing w:line="360" w:lineRule="auto"/>
        <w:rPr>
          <w:rFonts w:ascii="宋体" w:hAnsi="宋体"/>
          <w:sz w:val="24"/>
        </w:rPr>
      </w:pPr>
      <w:r>
        <w:rPr>
          <w:rFonts w:hint="eastAsia" w:ascii="宋体" w:hAnsi="宋体"/>
          <w:b/>
          <w:sz w:val="24"/>
        </w:rPr>
        <w:t>9.1认证要求变更的条件</w:t>
      </w:r>
    </w:p>
    <w:p>
      <w:pPr>
        <w:numPr>
          <w:ilvl w:val="0"/>
          <w:numId w:val="28"/>
        </w:numPr>
        <w:spacing w:line="360" w:lineRule="auto"/>
        <w:rPr>
          <w:rFonts w:ascii="宋体" w:hAnsi="宋体"/>
          <w:sz w:val="24"/>
        </w:rPr>
      </w:pPr>
      <w:r>
        <w:rPr>
          <w:rFonts w:hint="eastAsia" w:ascii="宋体" w:hAnsi="宋体"/>
          <w:sz w:val="24"/>
        </w:rPr>
        <w:t>获证客户保持认证资格有效；</w:t>
      </w:r>
    </w:p>
    <w:p>
      <w:pPr>
        <w:numPr>
          <w:ilvl w:val="0"/>
          <w:numId w:val="28"/>
        </w:numPr>
        <w:spacing w:line="360" w:lineRule="auto"/>
        <w:rPr>
          <w:rFonts w:ascii="宋体" w:hAnsi="宋体"/>
          <w:sz w:val="24"/>
        </w:rPr>
      </w:pPr>
      <w:r>
        <w:rPr>
          <w:rFonts w:hint="eastAsia" w:ascii="宋体" w:hAnsi="宋体"/>
          <w:sz w:val="24"/>
        </w:rPr>
        <w:t>认证要求变更应在规定的时间前完成；</w:t>
      </w:r>
    </w:p>
    <w:p>
      <w:pPr>
        <w:numPr>
          <w:ilvl w:val="0"/>
          <w:numId w:val="28"/>
        </w:numPr>
        <w:spacing w:line="360" w:lineRule="auto"/>
        <w:rPr>
          <w:rFonts w:ascii="宋体" w:hAnsi="宋体"/>
          <w:sz w:val="24"/>
        </w:rPr>
      </w:pPr>
      <w:r>
        <w:rPr>
          <w:rFonts w:hint="eastAsia" w:ascii="宋体" w:hAnsi="宋体"/>
          <w:sz w:val="24"/>
        </w:rPr>
        <w:t>申请认证要求变更的获证客户应提交认证要求变更需求申请，并提交按新的认证要求进行体系调整的证据；</w:t>
      </w:r>
    </w:p>
    <w:p>
      <w:pPr>
        <w:numPr>
          <w:ilvl w:val="0"/>
          <w:numId w:val="28"/>
        </w:numPr>
        <w:spacing w:line="360" w:lineRule="auto"/>
        <w:rPr>
          <w:rFonts w:ascii="宋体" w:hAnsi="宋体"/>
          <w:sz w:val="24"/>
        </w:rPr>
      </w:pPr>
      <w:r>
        <w:rPr>
          <w:rFonts w:hint="eastAsia" w:ascii="宋体" w:hAnsi="宋体"/>
          <w:sz w:val="24"/>
        </w:rPr>
        <w:t>获证客户的体系已满足新的认证要求,且已正常运行。</w:t>
      </w:r>
    </w:p>
    <w:p>
      <w:pPr>
        <w:spacing w:line="360" w:lineRule="auto"/>
        <w:rPr>
          <w:rFonts w:ascii="宋体" w:hAnsi="宋体"/>
          <w:sz w:val="24"/>
        </w:rPr>
      </w:pPr>
      <w:r>
        <w:rPr>
          <w:rFonts w:hint="eastAsia" w:ascii="宋体" w:hAnsi="宋体"/>
          <w:b/>
          <w:sz w:val="24"/>
        </w:rPr>
        <w:t>9.2认证要求变更的程序</w:t>
      </w:r>
    </w:p>
    <w:p>
      <w:pPr>
        <w:numPr>
          <w:ilvl w:val="0"/>
          <w:numId w:val="29"/>
        </w:numPr>
        <w:spacing w:line="360" w:lineRule="auto"/>
        <w:rPr>
          <w:rFonts w:ascii="宋体" w:hAnsi="宋体"/>
          <w:sz w:val="24"/>
        </w:rPr>
      </w:pPr>
      <w:r>
        <w:rPr>
          <w:rFonts w:hint="eastAsia" w:ascii="宋体" w:hAnsi="宋体"/>
          <w:sz w:val="24"/>
        </w:rPr>
        <w:t>在认证要求变更转换期结束前，获证客户向CQM提出认证要求变更申请；提出申请日期宜在转换期截止前至少90天；</w:t>
      </w:r>
    </w:p>
    <w:p>
      <w:pPr>
        <w:numPr>
          <w:ilvl w:val="0"/>
          <w:numId w:val="29"/>
        </w:numPr>
        <w:spacing w:line="360" w:lineRule="auto"/>
        <w:rPr>
          <w:rFonts w:ascii="宋体" w:hAnsi="宋体"/>
          <w:sz w:val="24"/>
        </w:rPr>
      </w:pPr>
      <w:r>
        <w:rPr>
          <w:rFonts w:hint="eastAsia" w:ascii="宋体" w:hAnsi="宋体"/>
          <w:sz w:val="24"/>
        </w:rPr>
        <w:t>CQM通过对获证客户实施年度监督审核或再认证审核，或应获证客户要求安排的认证要求变更的专项审核，评审调整后的数据安全风险管理对认证要求的符合性、适宜性和有效性；</w:t>
      </w:r>
    </w:p>
    <w:p>
      <w:pPr>
        <w:numPr>
          <w:ilvl w:val="0"/>
          <w:numId w:val="29"/>
        </w:numPr>
        <w:spacing w:line="360" w:lineRule="auto"/>
        <w:rPr>
          <w:rFonts w:ascii="宋体" w:hAnsi="宋体"/>
          <w:sz w:val="24"/>
        </w:rPr>
      </w:pPr>
      <w:r>
        <w:rPr>
          <w:rFonts w:hint="eastAsia" w:ascii="宋体" w:hAnsi="宋体"/>
          <w:sz w:val="24"/>
        </w:rPr>
        <w:t>经CQM审定，认为获证客户已满足批准认证资格的条件，同意批准认证范围，换发认证证书或附件，收回原证书，认证证书的注册号和有效期保持不变。</w:t>
      </w:r>
    </w:p>
    <w:p>
      <w:pPr>
        <w:pStyle w:val="2"/>
        <w:keepNext/>
        <w:keepLines/>
        <w:pageBreakBefore w:val="0"/>
        <w:widowControl w:val="0"/>
        <w:kinsoku/>
        <w:wordWrap/>
        <w:overflowPunct/>
        <w:topLinePunct w:val="0"/>
        <w:autoSpaceDE/>
        <w:autoSpaceDN/>
        <w:bidi w:val="0"/>
        <w:adjustRightInd/>
        <w:snapToGrid w:val="0"/>
        <w:spacing w:before="313" w:beforeLines="100" w:after="313" w:afterLines="100" w:line="240" w:lineRule="auto"/>
        <w:textAlignment w:val="auto"/>
        <w:rPr>
          <w:rFonts w:hint="eastAsia"/>
        </w:rPr>
      </w:pPr>
      <w:bookmarkStart w:id="91" w:name="_Toc33600448"/>
      <w:bookmarkStart w:id="92" w:name="_Toc33599614"/>
      <w:bookmarkStart w:id="93" w:name="_Toc85105536"/>
      <w:bookmarkStart w:id="94" w:name="_Toc85256272"/>
      <w:bookmarkStart w:id="95" w:name="_Toc185325645"/>
      <w:bookmarkStart w:id="96" w:name="_Toc33600404"/>
      <w:bookmarkStart w:id="97" w:name="_Toc85103646"/>
      <w:bookmarkStart w:id="98" w:name="_Toc33599741"/>
      <w:bookmarkStart w:id="99" w:name="_Toc13912"/>
      <w:r>
        <w:rPr>
          <w:rFonts w:hint="eastAsia"/>
        </w:rPr>
        <w:t>10 保密</w:t>
      </w:r>
      <w:bookmarkEnd w:id="91"/>
      <w:bookmarkEnd w:id="92"/>
      <w:bookmarkEnd w:id="93"/>
      <w:bookmarkEnd w:id="94"/>
      <w:bookmarkEnd w:id="95"/>
      <w:bookmarkEnd w:id="96"/>
      <w:bookmarkEnd w:id="97"/>
      <w:bookmarkEnd w:id="98"/>
      <w:bookmarkEnd w:id="99"/>
    </w:p>
    <w:p>
      <w:pPr>
        <w:spacing w:line="360" w:lineRule="auto"/>
        <w:ind w:firstLine="480" w:firstLineChars="200"/>
        <w:rPr>
          <w:rFonts w:ascii="宋体" w:hAnsi="宋体"/>
          <w:sz w:val="24"/>
        </w:rPr>
      </w:pPr>
      <w:r>
        <w:rPr>
          <w:rFonts w:hint="eastAsia" w:ascii="宋体" w:hAnsi="宋体"/>
          <w:sz w:val="24"/>
        </w:rPr>
        <w:t>CQM承诺为认证客户保密（提前告知认证客户的需公开信息除外）。对认证客户的保密信息如需公开或向第三方提供时，将拟提供的信息提前通知认证客户（法律限制除外）。</w:t>
      </w:r>
    </w:p>
    <w:p>
      <w:pPr>
        <w:spacing w:line="360" w:lineRule="auto"/>
        <w:ind w:firstLine="480"/>
        <w:rPr>
          <w:rFonts w:ascii="宋体" w:hAnsi="宋体"/>
          <w:sz w:val="24"/>
        </w:rPr>
      </w:pPr>
      <w:r>
        <w:rPr>
          <w:rFonts w:hint="eastAsia" w:ascii="宋体" w:hAnsi="宋体"/>
          <w:sz w:val="24"/>
        </w:rPr>
        <w:t>如有证据表明，CQM因认证接触受审核方的商业、技术秘密，而泄露给第三者（法律规定除外），承担相应法律责任。</w:t>
      </w:r>
      <w:bookmarkStart w:id="100" w:name="_Toc33600405"/>
      <w:bookmarkStart w:id="101" w:name="_Toc33599742"/>
      <w:bookmarkStart w:id="102" w:name="_Toc33599615"/>
      <w:bookmarkStart w:id="103" w:name="_Toc33600449"/>
    </w:p>
    <w:bookmarkEnd w:id="100"/>
    <w:bookmarkEnd w:id="101"/>
    <w:bookmarkEnd w:id="102"/>
    <w:bookmarkEnd w:id="103"/>
    <w:p>
      <w:pPr>
        <w:pStyle w:val="2"/>
        <w:keepNext/>
        <w:keepLines/>
        <w:pageBreakBefore w:val="0"/>
        <w:widowControl w:val="0"/>
        <w:kinsoku/>
        <w:wordWrap/>
        <w:overflowPunct/>
        <w:topLinePunct w:val="0"/>
        <w:autoSpaceDE/>
        <w:autoSpaceDN/>
        <w:bidi w:val="0"/>
        <w:adjustRightInd/>
        <w:snapToGrid w:val="0"/>
        <w:spacing w:before="313" w:beforeLines="100" w:after="313" w:afterLines="100" w:line="240" w:lineRule="auto"/>
        <w:textAlignment w:val="auto"/>
        <w:rPr>
          <w:rFonts w:hint="eastAsia"/>
        </w:rPr>
      </w:pPr>
      <w:bookmarkStart w:id="104" w:name="_Toc85256273"/>
      <w:bookmarkStart w:id="105" w:name="_Toc185325646"/>
      <w:bookmarkStart w:id="106" w:name="_Toc570"/>
      <w:r>
        <w:rPr>
          <w:rFonts w:hint="eastAsia"/>
        </w:rPr>
        <w:t>11 申诉/投诉、争议及处理</w:t>
      </w:r>
      <w:bookmarkEnd w:id="104"/>
      <w:bookmarkEnd w:id="105"/>
      <w:bookmarkEnd w:id="106"/>
    </w:p>
    <w:p>
      <w:pPr>
        <w:pStyle w:val="14"/>
        <w:spacing w:after="0" w:line="360" w:lineRule="auto"/>
        <w:ind w:left="0" w:leftChars="0" w:firstLine="420" w:firstLineChars="175"/>
        <w:rPr>
          <w:sz w:val="24"/>
          <w:szCs w:val="24"/>
        </w:rPr>
      </w:pPr>
      <w:r>
        <w:rPr>
          <w:rFonts w:hint="eastAsia"/>
          <w:sz w:val="24"/>
          <w:szCs w:val="24"/>
        </w:rPr>
        <w:t>对</w:t>
      </w:r>
      <w:r>
        <w:rPr>
          <w:rFonts w:hint="eastAsia" w:ascii="宋体" w:hAnsi="宋体"/>
          <w:sz w:val="24"/>
        </w:rPr>
        <w:t>CQM</w:t>
      </w:r>
      <w:r>
        <w:rPr>
          <w:rFonts w:hint="eastAsia"/>
          <w:sz w:val="24"/>
          <w:szCs w:val="24"/>
        </w:rPr>
        <w:t>或审核人员违反国家认证法律、法规、认可机构有关规定、缺乏公正性及对认证的评价结果等有异议时，可以向</w:t>
      </w:r>
      <w:r>
        <w:rPr>
          <w:rFonts w:hint="eastAsia" w:ascii="宋体" w:hAnsi="宋体"/>
          <w:sz w:val="24"/>
        </w:rPr>
        <w:t>CQM</w:t>
      </w:r>
      <w:r>
        <w:rPr>
          <w:rFonts w:hint="eastAsia"/>
          <w:sz w:val="24"/>
          <w:szCs w:val="24"/>
        </w:rPr>
        <w:t>提出申诉、投诉。</w:t>
      </w:r>
    </w:p>
    <w:p>
      <w:pPr>
        <w:spacing w:line="360" w:lineRule="auto"/>
        <w:ind w:firstLine="480" w:firstLineChars="200"/>
        <w:rPr>
          <w:rFonts w:ascii="宋体"/>
          <w:bCs/>
          <w:sz w:val="24"/>
        </w:rPr>
      </w:pPr>
      <w:r>
        <w:rPr>
          <w:rFonts w:hint="eastAsia" w:ascii="宋体"/>
          <w:bCs/>
          <w:sz w:val="24"/>
        </w:rPr>
        <w:t>CQM将在30日内答复处理情况。</w:t>
      </w:r>
    </w:p>
    <w:p>
      <w:pPr>
        <w:spacing w:line="360" w:lineRule="auto"/>
        <w:ind w:firstLine="480" w:firstLineChars="200"/>
        <w:rPr>
          <w:rFonts w:hint="eastAsia" w:ascii="宋体"/>
          <w:bCs/>
          <w:sz w:val="24"/>
        </w:rPr>
      </w:pPr>
      <w:r>
        <w:rPr>
          <w:rFonts w:hint="eastAsia" w:ascii="宋体"/>
          <w:bCs/>
          <w:sz w:val="24"/>
        </w:rPr>
        <w:t>对CQM申诉/投诉和争议的处理有异议时可向中国合格评定国家认可委员会、中国国家认证认可监督管理委员会等有关部门进一步申诉/投诉。</w:t>
      </w:r>
      <w:bookmarkStart w:id="107" w:name="_Toc85103651"/>
      <w:bookmarkStart w:id="108" w:name="_Toc85105541"/>
      <w:bookmarkStart w:id="109" w:name="_Toc85256274"/>
      <w:bookmarkStart w:id="110" w:name="_Toc185325647"/>
      <w:bookmarkStart w:id="111" w:name="_Toc9668"/>
    </w:p>
    <w:p>
      <w:pPr>
        <w:pStyle w:val="2"/>
        <w:keepNext/>
        <w:keepLines/>
        <w:pageBreakBefore w:val="0"/>
        <w:widowControl w:val="0"/>
        <w:kinsoku/>
        <w:wordWrap/>
        <w:overflowPunct/>
        <w:topLinePunct w:val="0"/>
        <w:autoSpaceDE/>
        <w:autoSpaceDN/>
        <w:bidi w:val="0"/>
        <w:adjustRightInd/>
        <w:snapToGrid w:val="0"/>
        <w:spacing w:before="313" w:beforeLines="100" w:after="313" w:afterLines="100" w:line="240" w:lineRule="auto"/>
        <w:textAlignment w:val="auto"/>
        <w:rPr>
          <w:rFonts w:hint="eastAsia"/>
        </w:rPr>
      </w:pPr>
      <w:r>
        <w:rPr>
          <w:rFonts w:hint="eastAsia"/>
        </w:rPr>
        <w:t>12 费用</w:t>
      </w:r>
      <w:bookmarkEnd w:id="107"/>
      <w:bookmarkEnd w:id="108"/>
      <w:bookmarkEnd w:id="109"/>
      <w:bookmarkEnd w:id="110"/>
      <w:bookmarkEnd w:id="111"/>
    </w:p>
    <w:p>
      <w:pPr>
        <w:jc w:val="center"/>
        <w:rPr>
          <w:rFonts w:ascii="宋体" w:hAnsi="宋体"/>
          <w:sz w:val="24"/>
        </w:rPr>
      </w:pPr>
      <w:r>
        <w:rPr>
          <w:rFonts w:hint="eastAsia" w:ascii="宋体" w:hAnsi="宋体"/>
          <w:sz w:val="24"/>
        </w:rPr>
        <w:t>实施本方案的费用，按《数据安全风险管理认证收费管理规则》执行。</w:t>
      </w:r>
      <w:bookmarkStart w:id="112" w:name="_Toc33600452"/>
      <w:bookmarkStart w:id="113" w:name="_Toc33599618"/>
      <w:bookmarkStart w:id="114" w:name="_Toc33600408"/>
      <w:bookmarkStart w:id="115" w:name="_Toc33599745"/>
    </w:p>
    <w:p>
      <w:pPr>
        <w:pStyle w:val="2"/>
        <w:keepNext/>
        <w:keepLines/>
        <w:pageBreakBefore w:val="0"/>
        <w:widowControl w:val="0"/>
        <w:kinsoku/>
        <w:wordWrap/>
        <w:overflowPunct/>
        <w:topLinePunct w:val="0"/>
        <w:autoSpaceDE/>
        <w:autoSpaceDN/>
        <w:bidi w:val="0"/>
        <w:adjustRightInd/>
        <w:snapToGrid w:val="0"/>
        <w:spacing w:before="313" w:beforeLines="100" w:after="313" w:afterLines="100" w:line="240" w:lineRule="auto"/>
        <w:textAlignment w:val="auto"/>
        <w:rPr>
          <w:rFonts w:hint="eastAsia"/>
        </w:rPr>
      </w:pPr>
      <w:bookmarkStart w:id="116" w:name="_Toc185325648"/>
      <w:bookmarkStart w:id="117" w:name="_Toc85103652"/>
      <w:bookmarkStart w:id="118" w:name="_Toc85256275"/>
      <w:bookmarkStart w:id="119" w:name="_Toc85105542"/>
      <w:bookmarkStart w:id="120" w:name="_Toc23305"/>
      <w:r>
        <w:rPr>
          <w:rFonts w:hint="eastAsia"/>
        </w:rPr>
        <w:t>13 公告</w:t>
      </w:r>
      <w:bookmarkEnd w:id="112"/>
      <w:bookmarkEnd w:id="113"/>
      <w:bookmarkEnd w:id="114"/>
      <w:bookmarkEnd w:id="115"/>
      <w:bookmarkEnd w:id="116"/>
      <w:bookmarkEnd w:id="117"/>
      <w:bookmarkEnd w:id="118"/>
      <w:bookmarkEnd w:id="119"/>
      <w:bookmarkEnd w:id="120"/>
    </w:p>
    <w:p>
      <w:pPr>
        <w:spacing w:line="360" w:lineRule="auto"/>
        <w:ind w:firstLine="480"/>
        <w:rPr>
          <w:rFonts w:ascii="宋体" w:hAnsi="宋体"/>
          <w:sz w:val="24"/>
        </w:rPr>
      </w:pPr>
      <w:r>
        <w:rPr>
          <w:rFonts w:hint="eastAsia" w:ascii="宋体" w:hAnsi="宋体"/>
          <w:sz w:val="24"/>
        </w:rPr>
        <w:t>对获得认证、暂停、恢复或撤销的认证客户，在CQM网站上公布。</w:t>
      </w:r>
      <w:bookmarkStart w:id="121" w:name="_Toc33600409"/>
      <w:bookmarkStart w:id="122" w:name="_Toc33599619"/>
      <w:bookmarkStart w:id="123" w:name="_Toc33600453"/>
      <w:bookmarkStart w:id="124" w:name="_Toc33599746"/>
    </w:p>
    <w:p>
      <w:pPr>
        <w:pStyle w:val="2"/>
        <w:keepNext/>
        <w:keepLines/>
        <w:pageBreakBefore w:val="0"/>
        <w:widowControl w:val="0"/>
        <w:kinsoku/>
        <w:wordWrap/>
        <w:overflowPunct/>
        <w:topLinePunct w:val="0"/>
        <w:autoSpaceDE/>
        <w:autoSpaceDN/>
        <w:bidi w:val="0"/>
        <w:adjustRightInd/>
        <w:snapToGrid w:val="0"/>
        <w:spacing w:before="313" w:beforeLines="100" w:after="313" w:afterLines="100" w:line="240" w:lineRule="auto"/>
        <w:textAlignment w:val="auto"/>
        <w:rPr>
          <w:rFonts w:hint="eastAsia"/>
        </w:rPr>
      </w:pPr>
      <w:bookmarkStart w:id="125" w:name="_Toc85256276"/>
      <w:bookmarkStart w:id="126" w:name="_Toc185325649"/>
      <w:bookmarkStart w:id="127" w:name="_Toc85105543"/>
      <w:bookmarkStart w:id="128" w:name="_Toc85103653"/>
      <w:bookmarkStart w:id="129" w:name="_Toc31550"/>
      <w:r>
        <w:rPr>
          <w:rFonts w:hint="eastAsia"/>
        </w:rPr>
        <w:t>14 附则</w:t>
      </w:r>
      <w:bookmarkEnd w:id="121"/>
      <w:bookmarkEnd w:id="122"/>
      <w:bookmarkEnd w:id="123"/>
      <w:bookmarkEnd w:id="124"/>
      <w:bookmarkEnd w:id="125"/>
      <w:bookmarkEnd w:id="126"/>
      <w:bookmarkEnd w:id="127"/>
      <w:bookmarkEnd w:id="128"/>
      <w:bookmarkEnd w:id="129"/>
    </w:p>
    <w:p>
      <w:pPr>
        <w:spacing w:line="360" w:lineRule="auto"/>
        <w:ind w:firstLine="480"/>
        <w:rPr>
          <w:rFonts w:ascii="宋体" w:hAnsi="宋体"/>
          <w:sz w:val="24"/>
        </w:rPr>
      </w:pPr>
      <w:r>
        <w:rPr>
          <w:rFonts w:hint="eastAsia" w:ascii="宋体" w:hAnsi="宋体"/>
          <w:sz w:val="24"/>
        </w:rPr>
        <w:t>本方案由方圆标志认证集团有限公司负责解释。</w:t>
      </w:r>
    </w:p>
    <w:p/>
    <w:p/>
    <w:p/>
    <w:p/>
    <w:p>
      <w:pPr>
        <w:tabs>
          <w:tab w:val="left" w:pos="5699"/>
        </w:tabs>
        <w:jc w:val="left"/>
      </w:pPr>
    </w:p>
    <w:sectPr>
      <w:headerReference r:id="rId4" w:type="first"/>
      <w:footerReference r:id="rId6" w:type="first"/>
      <w:headerReference r:id="rId3" w:type="default"/>
      <w:footerReference r:id="rId5" w:type="default"/>
      <w:pgSz w:w="11906" w:h="16838"/>
      <w:pgMar w:top="856" w:right="1797" w:bottom="1440" w:left="1797" w:header="284" w:footer="0" w:gutter="0"/>
      <w:pgNumType w:start="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隶书">
    <w:panose1 w:val="02010509060101010101"/>
    <w:charset w:val="86"/>
    <w:family w:val="modern"/>
    <w:pitch w:val="default"/>
    <w:sig w:usb0="00000001" w:usb1="080E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 w:name="仿宋_GB2312">
    <w:panose1 w:val="02010609030101010101"/>
    <w:charset w:val="86"/>
    <w:family w:val="auto"/>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7"/>
      <w:tblW w:w="9180" w:type="dxa"/>
      <w:tblInd w:w="-252" w:type="dxa"/>
      <w:tblLayout w:type="fixed"/>
      <w:tblCellMar>
        <w:top w:w="0" w:type="dxa"/>
        <w:left w:w="108" w:type="dxa"/>
        <w:bottom w:w="0" w:type="dxa"/>
        <w:right w:w="108" w:type="dxa"/>
      </w:tblCellMar>
    </w:tblPr>
    <w:tblGrid>
      <w:gridCol w:w="1050"/>
      <w:gridCol w:w="4530"/>
      <w:gridCol w:w="1620"/>
      <w:gridCol w:w="1980"/>
    </w:tblGrid>
    <w:tr>
      <w:tblPrEx>
        <w:tblCellMar>
          <w:top w:w="0" w:type="dxa"/>
          <w:left w:w="108" w:type="dxa"/>
          <w:bottom w:w="0" w:type="dxa"/>
          <w:right w:w="108" w:type="dxa"/>
        </w:tblCellMar>
      </w:tblPrEx>
      <w:trPr>
        <w:trHeight w:val="1326" w:hRule="atLeast"/>
      </w:trPr>
      <w:tc>
        <w:tcPr>
          <w:tcW w:w="1050" w:type="dxa"/>
          <w:tcBorders>
            <w:top w:val="thinThickSmallGap" w:color="3366FF" w:sz="18" w:space="0"/>
          </w:tcBorders>
        </w:tcPr>
        <w:p>
          <w:pPr>
            <w:pStyle w:val="11"/>
            <w:ind w:left="-108"/>
            <w:jc w:val="both"/>
            <w:rPr>
              <w:sz w:val="13"/>
            </w:rPr>
          </w:pPr>
        </w:p>
        <w:p>
          <w:pPr>
            <w:pStyle w:val="11"/>
            <w:ind w:left="-108"/>
            <w:jc w:val="both"/>
          </w:pPr>
          <w:r>
            <w:rPr>
              <w:rFonts w:hint="eastAsia"/>
            </w:rPr>
            <w:t>通讯地址：</w:t>
          </w:r>
        </w:p>
        <w:p>
          <w:pPr>
            <w:pStyle w:val="11"/>
            <w:ind w:left="-108"/>
            <w:jc w:val="both"/>
          </w:pPr>
          <w:r>
            <w:rPr>
              <w:rFonts w:hint="eastAsia"/>
            </w:rPr>
            <w:t>电    话：</w:t>
          </w:r>
        </w:p>
        <w:p>
          <w:pPr>
            <w:pStyle w:val="11"/>
            <w:ind w:left="-108"/>
            <w:jc w:val="both"/>
          </w:pPr>
          <w:r>
            <w:rPr>
              <w:rFonts w:hint="eastAsia"/>
            </w:rPr>
            <w:t>传    真：</w:t>
          </w:r>
        </w:p>
        <w:p>
          <w:pPr>
            <w:pStyle w:val="11"/>
            <w:ind w:left="-108"/>
            <w:jc w:val="both"/>
          </w:pPr>
          <w:r>
            <w:rPr>
              <w:rFonts w:hint="eastAsia"/>
            </w:rPr>
            <w:t>网址：</w:t>
          </w:r>
        </w:p>
        <w:p>
          <w:pPr>
            <w:pStyle w:val="11"/>
            <w:ind w:left="-108"/>
            <w:jc w:val="both"/>
          </w:pPr>
          <w:r>
            <w:rPr>
              <w:rFonts w:hint="eastAsia"/>
              <w:spacing w:val="24"/>
              <w:sz w:val="21"/>
            </w:rPr>
            <w:t>E-mail</w:t>
          </w:r>
          <w:r>
            <w:rPr>
              <w:rFonts w:hint="eastAsia"/>
              <w:spacing w:val="20"/>
              <w:lang w:val="en-GB"/>
            </w:rPr>
            <w:t>：</w:t>
          </w:r>
        </w:p>
      </w:tc>
      <w:tc>
        <w:tcPr>
          <w:tcW w:w="4530" w:type="dxa"/>
          <w:tcBorders>
            <w:top w:val="thinThickSmallGap" w:color="3366FF" w:sz="18" w:space="0"/>
          </w:tcBorders>
        </w:tcPr>
        <w:p>
          <w:pPr>
            <w:pStyle w:val="11"/>
            <w:ind w:left="-108"/>
            <w:jc w:val="both"/>
            <w:rPr>
              <w:sz w:val="13"/>
            </w:rPr>
          </w:pPr>
        </w:p>
        <w:p>
          <w:pPr>
            <w:pStyle w:val="11"/>
            <w:ind w:left="-108"/>
            <w:jc w:val="both"/>
          </w:pPr>
          <w:r>
            <w:rPr>
              <w:rFonts w:hint="eastAsia"/>
            </w:rPr>
            <w:t>北京市海淀区增光路33号</w:t>
          </w:r>
          <w:r>
            <w:t>(</w:t>
          </w:r>
          <w:r>
            <w:rPr>
              <w:rFonts w:hint="eastAsia"/>
            </w:rPr>
            <w:t>100048</w:t>
          </w:r>
          <w:r>
            <w:t>)</w:t>
          </w:r>
        </w:p>
        <w:p>
          <w:pPr>
            <w:pStyle w:val="11"/>
            <w:ind w:left="-108"/>
            <w:jc w:val="both"/>
          </w:pPr>
          <w:r>
            <w:rPr>
              <w:rFonts w:hint="eastAsia"/>
            </w:rPr>
            <w:t>（010）88411888（总机）</w:t>
          </w:r>
        </w:p>
        <w:p>
          <w:pPr>
            <w:pStyle w:val="11"/>
            <w:ind w:left="-108"/>
            <w:jc w:val="both"/>
          </w:pPr>
          <w:r>
            <w:rPr>
              <w:rFonts w:hint="eastAsia"/>
            </w:rPr>
            <w:t>（010）88414325</w:t>
          </w:r>
        </w:p>
        <w:p>
          <w:pPr>
            <w:pStyle w:val="11"/>
            <w:jc w:val="both"/>
          </w:pPr>
          <w:r>
            <w:t>http://cqm.cn/</w:t>
          </w:r>
        </w:p>
        <w:p>
          <w:pPr>
            <w:pStyle w:val="11"/>
            <w:jc w:val="both"/>
          </w:pPr>
          <w:r>
            <w:t>cqm@cqm.com.cn</w:t>
          </w:r>
        </w:p>
      </w:tc>
      <w:tc>
        <w:tcPr>
          <w:tcW w:w="1620" w:type="dxa"/>
          <w:tcBorders>
            <w:top w:val="thinThickSmallGap" w:color="3366FF" w:sz="18" w:space="0"/>
          </w:tcBorders>
        </w:tcPr>
        <w:p>
          <w:pPr>
            <w:pStyle w:val="11"/>
            <w:jc w:val="both"/>
          </w:pPr>
        </w:p>
        <w:p>
          <w:pPr>
            <w:pStyle w:val="11"/>
            <w:jc w:val="both"/>
          </w:pPr>
          <w:r>
            <w:rPr>
              <w:rFonts w:hint="eastAsia"/>
            </w:rPr>
            <w:t xml:space="preserve">文件编号： </w:t>
          </w:r>
        </w:p>
        <w:p>
          <w:pPr>
            <w:pStyle w:val="11"/>
            <w:jc w:val="both"/>
          </w:pPr>
          <w:r>
            <w:rPr>
              <w:rFonts w:hint="eastAsia"/>
            </w:rPr>
            <w:t xml:space="preserve">发布日期： </w:t>
          </w:r>
        </w:p>
        <w:p>
          <w:pPr>
            <w:widowControl/>
            <w:jc w:val="left"/>
            <w:rPr>
              <w:sz w:val="18"/>
              <w:szCs w:val="18"/>
            </w:rPr>
          </w:pPr>
          <w:r>
            <w:rPr>
              <w:rFonts w:hint="eastAsia"/>
              <w:sz w:val="18"/>
              <w:szCs w:val="18"/>
            </w:rPr>
            <w:t>修订日期：</w:t>
          </w:r>
        </w:p>
        <w:p>
          <w:pPr>
            <w:widowControl/>
            <w:jc w:val="left"/>
            <w:rPr>
              <w:sz w:val="18"/>
              <w:szCs w:val="18"/>
            </w:rPr>
          </w:pPr>
          <w:r>
            <w:rPr>
              <w:rFonts w:hint="eastAsia"/>
              <w:sz w:val="18"/>
              <w:szCs w:val="18"/>
            </w:rPr>
            <w:t>实施日期：</w:t>
          </w:r>
        </w:p>
        <w:p>
          <w:pPr>
            <w:widowControl/>
            <w:jc w:val="left"/>
            <w:rPr>
              <w:sz w:val="18"/>
              <w:szCs w:val="18"/>
            </w:rPr>
          </w:pPr>
          <w:r>
            <w:rPr>
              <w:rFonts w:hint="eastAsia"/>
              <w:sz w:val="18"/>
              <w:szCs w:val="18"/>
            </w:rPr>
            <w:t>页数：</w:t>
          </w:r>
        </w:p>
      </w:tc>
      <w:tc>
        <w:tcPr>
          <w:tcW w:w="1980" w:type="dxa"/>
          <w:tcBorders>
            <w:top w:val="thinThickSmallGap" w:color="3366FF" w:sz="18" w:space="0"/>
          </w:tcBorders>
        </w:tcPr>
        <w:p>
          <w:pPr>
            <w:pStyle w:val="11"/>
            <w:jc w:val="both"/>
          </w:pPr>
        </w:p>
        <w:p>
          <w:pPr>
            <w:pStyle w:val="11"/>
            <w:jc w:val="both"/>
            <w:rPr>
              <w:rFonts w:hint="eastAsia" w:eastAsia="宋体"/>
              <w:lang w:val="en-US" w:eastAsia="zh-CN"/>
            </w:rPr>
          </w:pPr>
          <w:r>
            <w:t>CQM/S-</w:t>
          </w:r>
          <w:r>
            <w:rPr>
              <w:rFonts w:hint="eastAsia"/>
            </w:rPr>
            <w:t>FN-2</w:t>
          </w:r>
          <w:r>
            <w:rPr>
              <w:rFonts w:hint="eastAsia"/>
              <w:lang w:val="en-US" w:eastAsia="zh-CN"/>
            </w:rPr>
            <w:t>7</w:t>
          </w:r>
          <w:r>
            <w:rPr>
              <w:rFonts w:hint="eastAsia"/>
            </w:rPr>
            <w:t>-02</w:t>
          </w:r>
          <w:r>
            <w:rPr>
              <w:rFonts w:hint="eastAsia"/>
              <w:lang w:val="en-US" w:eastAsia="zh-CN"/>
            </w:rPr>
            <w:t>6</w:t>
          </w:r>
        </w:p>
        <w:p>
          <w:pPr>
            <w:pStyle w:val="11"/>
            <w:jc w:val="both"/>
          </w:pPr>
          <w:r>
            <w:rPr>
              <w:rFonts w:hint="eastAsia"/>
            </w:rPr>
            <w:t>2021年</w:t>
          </w:r>
          <w:r>
            <w:rPr>
              <w:rFonts w:hint="eastAsia"/>
              <w:lang w:val="en-US" w:eastAsia="zh-CN"/>
            </w:rPr>
            <w:t>10</w:t>
          </w:r>
          <w:r>
            <w:rPr>
              <w:rFonts w:hint="eastAsia"/>
            </w:rPr>
            <w:t>月</w:t>
          </w:r>
          <w:r>
            <w:rPr>
              <w:rFonts w:hint="eastAsia"/>
              <w:lang w:val="en-US" w:eastAsia="zh-CN"/>
            </w:rPr>
            <w:t>27</w:t>
          </w:r>
          <w:r>
            <w:rPr>
              <w:rFonts w:hint="eastAsia"/>
            </w:rPr>
            <w:t>日</w:t>
          </w:r>
        </w:p>
        <w:p>
          <w:pPr>
            <w:pStyle w:val="11"/>
            <w:jc w:val="both"/>
          </w:pPr>
        </w:p>
        <w:p>
          <w:pPr>
            <w:pStyle w:val="11"/>
            <w:jc w:val="both"/>
          </w:pPr>
          <w:r>
            <w:rPr>
              <w:rFonts w:hint="eastAsia"/>
            </w:rPr>
            <w:t>2021年</w:t>
          </w:r>
          <w:r>
            <w:rPr>
              <w:rFonts w:hint="eastAsia"/>
              <w:lang w:val="en-US" w:eastAsia="zh-CN"/>
            </w:rPr>
            <w:t>10</w:t>
          </w:r>
          <w:r>
            <w:rPr>
              <w:rFonts w:hint="eastAsia"/>
            </w:rPr>
            <w:t>月</w:t>
          </w:r>
          <w:r>
            <w:rPr>
              <w:rFonts w:hint="eastAsia"/>
              <w:lang w:val="en-US" w:eastAsia="zh-CN"/>
            </w:rPr>
            <w:t>27</w:t>
          </w:r>
          <w:r>
            <w:rPr>
              <w:rFonts w:hint="eastAsia"/>
            </w:rPr>
            <w:t>日</w:t>
          </w:r>
        </w:p>
        <w:p>
          <w:pPr>
            <w:pStyle w:val="11"/>
            <w:jc w:val="both"/>
          </w:pPr>
          <w:r>
            <w:rPr>
              <w:rFonts w:hint="eastAsia"/>
            </w:rPr>
            <w:t xml:space="preserve">第 </w:t>
          </w:r>
          <w:r>
            <w:fldChar w:fldCharType="begin"/>
          </w:r>
          <w:r>
            <w:rPr>
              <w:rStyle w:val="19"/>
            </w:rPr>
            <w:instrText xml:space="preserve"> PAGE </w:instrText>
          </w:r>
          <w:r>
            <w:fldChar w:fldCharType="separate"/>
          </w:r>
          <w:r>
            <w:rPr>
              <w:rStyle w:val="19"/>
            </w:rPr>
            <w:t>9</w:t>
          </w:r>
          <w:r>
            <w:fldChar w:fldCharType="end"/>
          </w:r>
          <w:r>
            <w:rPr>
              <w:rStyle w:val="19"/>
              <w:rFonts w:hint="eastAsia"/>
            </w:rPr>
            <w:t>页  共</w:t>
          </w:r>
          <w:r>
            <w:rPr>
              <w:rStyle w:val="19"/>
              <w:rFonts w:hint="eastAsia"/>
              <w:lang w:val="en-US" w:eastAsia="zh-CN"/>
            </w:rPr>
            <w:t>14</w:t>
          </w:r>
          <w:r>
            <w:rPr>
              <w:rStyle w:val="19"/>
              <w:rFonts w:hint="eastAsia"/>
            </w:rPr>
            <w:t>页</w:t>
          </w:r>
        </w:p>
      </w:tc>
    </w:tr>
  </w:tbl>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7"/>
      <w:tblW w:w="9180" w:type="dxa"/>
      <w:tblInd w:w="-252" w:type="dxa"/>
      <w:tblBorders>
        <w:top w:val="none" w:color="auto" w:sz="0" w:space="0"/>
        <w:left w:val="none" w:color="auto" w:sz="0" w:space="0"/>
        <w:bottom w:val="thickThinSmallGap"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180"/>
    </w:tblGrid>
    <w:tr>
      <w:tblPrEx>
        <w:tblBorders>
          <w:top w:val="none" w:color="auto" w:sz="0" w:space="0"/>
          <w:left w:val="none" w:color="auto" w:sz="0" w:space="0"/>
          <w:bottom w:val="thickThinSmallGap"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180" w:type="dxa"/>
          <w:vAlign w:val="center"/>
        </w:tcPr>
        <w:p>
          <w:pPr>
            <w:pStyle w:val="12"/>
            <w:pBdr>
              <w:bottom w:val="none" w:color="auto" w:sz="0" w:space="0"/>
            </w:pBdr>
            <w:ind w:firstLine="1" w:firstLineChars="1"/>
            <w:jc w:val="both"/>
          </w:pPr>
          <w:r>
            <w:pict>
              <v:shape id="文本框 2" o:spid="_x0000_s2049" o:spt="202" type="#_x0000_t202" style="position:absolute;left:0pt;margin-left:356.3pt;margin-top:3.15pt;height:33.25pt;width:72pt;z-index:25166438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">
                <v:path/>
                <v:fill on="f" focussize="0,0"/>
                <v:stroke on="f" joinstyle="miter"/>
                <v:imagedata o:title=""/>
                <o:lock v:ext="edit"/>
                <v:textbox inset="0mm,0mm,0mm,0mm">
                  <w:txbxContent>
                    <w:p>
                      <w:pPr>
                        <w:jc w:val="center"/>
                        <w:rPr>
                          <w:rFonts w:ascii="黑体" w:eastAsia="黑体"/>
                          <w:sz w:val="8"/>
                        </w:rPr>
                      </w:pPr>
                      <w:r>
                        <w:rPr>
                          <w:rFonts w:hint="eastAsia" w:ascii="黑体" w:eastAsia="黑体"/>
                          <w:sz w:val="8"/>
                        </w:rPr>
                        <w:t>CQM是国际认证联盟的成员</w:t>
                      </w:r>
                    </w:p>
                    <w:p>
                      <w:pPr>
                        <w:jc w:val="center"/>
                        <w:rPr>
                          <w:rFonts w:ascii="黑体" w:eastAsia="黑体"/>
                          <w:sz w:val="10"/>
                        </w:rPr>
                      </w:pPr>
                      <w:r>
                        <w:rPr>
                          <w:rFonts w:ascii="黑体" w:eastAsia="黑体"/>
                          <w:sz w:val="10"/>
                        </w:rPr>
                        <w:drawing>
                          <wp:inline distT="0" distB="0" distL="0" distR="0">
                            <wp:extent cx="914400" cy="271780"/>
                            <wp:effectExtent l="19050" t="0" r="0" b="0"/>
                            <wp:docPr id="2" name="图片 2" descr="IQNet logo 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QNet logo colour"/>
                                    <pic:cNvPicPr>
                                      <a:picLocks noChangeAspect="1" noChangeArrowheads="1"/>
                                    </pic:cNvPicPr>
                                  </pic:nvPicPr>
                                  <pic:blipFill>
                                    <a:blip r:embed="rId1"/>
                                    <a:srcRect/>
                                    <a:stretch>
                                      <a:fillRect/>
                                    </a:stretch>
                                  </pic:blipFill>
                                  <pic:spPr>
                                    <a:xfrm>
                                      <a:off x="0" y="0"/>
                                      <a:ext cx="914400" cy="271780"/>
                                    </a:xfrm>
                                    <a:prstGeom prst="rect">
                                      <a:avLst/>
                                    </a:prstGeom>
                                    <a:noFill/>
                                    <a:ln w="9525">
                                      <a:noFill/>
                                      <a:miter lim="800000"/>
                                      <a:headEnd/>
                                      <a:tailEnd/>
                                    </a:ln>
                                  </pic:spPr>
                                </pic:pic>
                              </a:graphicData>
                            </a:graphic>
                          </wp:inline>
                        </w:drawing>
                      </w:r>
                    </w:p>
                  </w:txbxContent>
                </v:textbox>
              </v:shape>
            </w:pict>
          </w:r>
          <w:r>
            <w:drawing>
              <wp:inline distT="0" distB="0" distL="0" distR="0">
                <wp:extent cx="2553335" cy="407670"/>
                <wp:effectExtent l="19050" t="0" r="0" b="0"/>
                <wp:docPr id="1" name="图片 0" descr="方圆标志全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方圆标志全称.jpg"/>
                        <pic:cNvPicPr>
                          <a:picLocks noChangeAspect="1" noChangeArrowheads="1"/>
                        </pic:cNvPicPr>
                      </pic:nvPicPr>
                      <pic:blipFill>
                        <a:blip r:embed="rId2"/>
                        <a:srcRect/>
                        <a:stretch>
                          <a:fillRect/>
                        </a:stretch>
                      </pic:blipFill>
                      <pic:spPr>
                        <a:xfrm>
                          <a:off x="0" y="0"/>
                          <a:ext cx="2553335" cy="407670"/>
                        </a:xfrm>
                        <a:prstGeom prst="rect">
                          <a:avLst/>
                        </a:prstGeom>
                        <a:noFill/>
                        <a:ln w="9525">
                          <a:noFill/>
                          <a:miter lim="800000"/>
                          <a:headEnd/>
                          <a:tailEnd/>
                        </a:ln>
                      </pic:spPr>
                    </pic:pic>
                  </a:graphicData>
                </a:graphic>
              </wp:inline>
            </w:drawing>
          </w:r>
        </w:p>
      </w:tc>
    </w:tr>
  </w:tbl>
  <w:p>
    <w:pPr>
      <w:jc w:val="left"/>
      <w:rPr>
        <w:sz w:val="1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18D970"/>
    <w:multiLevelType w:val="multilevel"/>
    <w:tmpl w:val="9618D970"/>
    <w:lvl w:ilvl="0" w:tentative="0">
      <w:start w:val="1"/>
      <w:numFmt w:val="lowerLetter"/>
      <w:lvlText w:val="%1)"/>
      <w:lvlJc w:val="left"/>
      <w:pPr>
        <w:ind w:left="1620" w:hanging="420"/>
      </w:pPr>
    </w:lvl>
    <w:lvl w:ilvl="1" w:tentative="0">
      <w:start w:val="1"/>
      <w:numFmt w:val="decimal"/>
      <w:lvlText w:val="%2)"/>
      <w:lvlJc w:val="left"/>
      <w:pPr>
        <w:ind w:left="1980" w:hanging="360"/>
      </w:pPr>
      <w:rPr>
        <w:rFonts w:hint="default"/>
      </w:rPr>
    </w:lvl>
    <w:lvl w:ilvl="2" w:tentative="0">
      <w:start w:val="1"/>
      <w:numFmt w:val="lowerRoman"/>
      <w:lvlText w:val="%3."/>
      <w:lvlJc w:val="right"/>
      <w:pPr>
        <w:ind w:left="2460" w:hanging="420"/>
      </w:pPr>
    </w:lvl>
    <w:lvl w:ilvl="3" w:tentative="0">
      <w:start w:val="1"/>
      <w:numFmt w:val="decimal"/>
      <w:lvlText w:val="%4."/>
      <w:lvlJc w:val="left"/>
      <w:pPr>
        <w:ind w:left="2880" w:hanging="420"/>
      </w:pPr>
    </w:lvl>
    <w:lvl w:ilvl="4" w:tentative="0">
      <w:start w:val="1"/>
      <w:numFmt w:val="lowerLetter"/>
      <w:lvlText w:val="%5)"/>
      <w:lvlJc w:val="left"/>
      <w:pPr>
        <w:ind w:left="3300" w:hanging="420"/>
      </w:pPr>
    </w:lvl>
    <w:lvl w:ilvl="5" w:tentative="0">
      <w:start w:val="1"/>
      <w:numFmt w:val="lowerRoman"/>
      <w:lvlText w:val="%6."/>
      <w:lvlJc w:val="right"/>
      <w:pPr>
        <w:ind w:left="3720" w:hanging="420"/>
      </w:pPr>
    </w:lvl>
    <w:lvl w:ilvl="6" w:tentative="0">
      <w:start w:val="1"/>
      <w:numFmt w:val="decimal"/>
      <w:lvlText w:val="%7."/>
      <w:lvlJc w:val="left"/>
      <w:pPr>
        <w:ind w:left="4140" w:hanging="420"/>
      </w:pPr>
    </w:lvl>
    <w:lvl w:ilvl="7" w:tentative="0">
      <w:start w:val="1"/>
      <w:numFmt w:val="lowerLetter"/>
      <w:lvlText w:val="%8)"/>
      <w:lvlJc w:val="left"/>
      <w:pPr>
        <w:ind w:left="4560" w:hanging="420"/>
      </w:pPr>
    </w:lvl>
    <w:lvl w:ilvl="8" w:tentative="0">
      <w:start w:val="1"/>
      <w:numFmt w:val="lowerRoman"/>
      <w:lvlText w:val="%9."/>
      <w:lvlJc w:val="right"/>
      <w:pPr>
        <w:ind w:left="4980" w:hanging="420"/>
      </w:pPr>
    </w:lvl>
  </w:abstractNum>
  <w:abstractNum w:abstractNumId="1">
    <w:nsid w:val="98E1F075"/>
    <w:multiLevelType w:val="multilevel"/>
    <w:tmpl w:val="98E1F075"/>
    <w:lvl w:ilvl="0" w:tentative="0">
      <w:start w:val="1"/>
      <w:numFmt w:val="lowerLetter"/>
      <w:lvlText w:val="%1)"/>
      <w:lvlJc w:val="left"/>
      <w:pPr>
        <w:tabs>
          <w:tab w:val="left" w:pos="719"/>
        </w:tabs>
        <w:ind w:left="719" w:hanging="360"/>
      </w:pPr>
      <w:rPr>
        <w:rFonts w:hint="eastAsia"/>
      </w:rPr>
    </w:lvl>
    <w:lvl w:ilvl="1" w:tentative="0">
      <w:start w:val="1"/>
      <w:numFmt w:val="lowerLetter"/>
      <w:lvlText w:val="%2)"/>
      <w:lvlJc w:val="left"/>
      <w:pPr>
        <w:tabs>
          <w:tab w:val="left" w:pos="1139"/>
        </w:tabs>
        <w:ind w:left="1139" w:hanging="360"/>
      </w:pPr>
      <w:rPr>
        <w:rFonts w:hint="eastAsia"/>
      </w:rPr>
    </w:lvl>
    <w:lvl w:ilvl="2" w:tentative="0">
      <w:start w:val="1"/>
      <w:numFmt w:val="lowerLetter"/>
      <w:lvlText w:val="%3)"/>
      <w:lvlJc w:val="left"/>
      <w:pPr>
        <w:tabs>
          <w:tab w:val="left" w:pos="720"/>
        </w:tabs>
        <w:ind w:left="720" w:hanging="360"/>
      </w:pPr>
      <w:rPr>
        <w:rFonts w:hint="eastAsia"/>
      </w:rPr>
    </w:lvl>
    <w:lvl w:ilvl="3" w:tentative="0">
      <w:start w:val="1"/>
      <w:numFmt w:val="decimal"/>
      <w:lvlText w:val="%4."/>
      <w:lvlJc w:val="left"/>
      <w:pPr>
        <w:tabs>
          <w:tab w:val="left" w:pos="2039"/>
        </w:tabs>
        <w:ind w:left="2039" w:hanging="420"/>
      </w:pPr>
    </w:lvl>
    <w:lvl w:ilvl="4" w:tentative="0">
      <w:start w:val="1"/>
      <w:numFmt w:val="lowerLetter"/>
      <w:lvlText w:val="%5)"/>
      <w:lvlJc w:val="left"/>
      <w:pPr>
        <w:tabs>
          <w:tab w:val="left" w:pos="2459"/>
        </w:tabs>
        <w:ind w:left="2459" w:hanging="420"/>
      </w:pPr>
    </w:lvl>
    <w:lvl w:ilvl="5" w:tentative="0">
      <w:start w:val="1"/>
      <w:numFmt w:val="lowerRoman"/>
      <w:lvlText w:val="%6."/>
      <w:lvlJc w:val="right"/>
      <w:pPr>
        <w:tabs>
          <w:tab w:val="left" w:pos="2879"/>
        </w:tabs>
        <w:ind w:left="2879" w:hanging="420"/>
      </w:pPr>
    </w:lvl>
    <w:lvl w:ilvl="6" w:tentative="0">
      <w:start w:val="1"/>
      <w:numFmt w:val="decimal"/>
      <w:lvlText w:val="%7."/>
      <w:lvlJc w:val="left"/>
      <w:pPr>
        <w:tabs>
          <w:tab w:val="left" w:pos="3299"/>
        </w:tabs>
        <w:ind w:left="3299" w:hanging="420"/>
      </w:pPr>
    </w:lvl>
    <w:lvl w:ilvl="7" w:tentative="0">
      <w:start w:val="1"/>
      <w:numFmt w:val="lowerLetter"/>
      <w:lvlText w:val="%8)"/>
      <w:lvlJc w:val="left"/>
      <w:pPr>
        <w:tabs>
          <w:tab w:val="left" w:pos="3719"/>
        </w:tabs>
        <w:ind w:left="3719" w:hanging="420"/>
      </w:pPr>
    </w:lvl>
    <w:lvl w:ilvl="8" w:tentative="0">
      <w:start w:val="1"/>
      <w:numFmt w:val="lowerRoman"/>
      <w:lvlText w:val="%9."/>
      <w:lvlJc w:val="right"/>
      <w:pPr>
        <w:tabs>
          <w:tab w:val="left" w:pos="4139"/>
        </w:tabs>
        <w:ind w:left="4139" w:hanging="420"/>
      </w:pPr>
    </w:lvl>
  </w:abstractNum>
  <w:abstractNum w:abstractNumId="2">
    <w:nsid w:val="ACF6C382"/>
    <w:multiLevelType w:val="multilevel"/>
    <w:tmpl w:val="ACF6C382"/>
    <w:lvl w:ilvl="0" w:tentative="0">
      <w:start w:val="1"/>
      <w:numFmt w:val="lowerLetter"/>
      <w:lvlText w:val="%1)"/>
      <w:lvlJc w:val="left"/>
      <w:pPr>
        <w:ind w:left="1620" w:hanging="420"/>
      </w:pPr>
    </w:lvl>
    <w:lvl w:ilvl="1" w:tentative="0">
      <w:start w:val="1"/>
      <w:numFmt w:val="decimal"/>
      <w:lvlText w:val="%2)"/>
      <w:lvlJc w:val="left"/>
      <w:pPr>
        <w:ind w:left="1980" w:hanging="360"/>
      </w:pPr>
      <w:rPr>
        <w:rFonts w:hint="default"/>
      </w:rPr>
    </w:lvl>
    <w:lvl w:ilvl="2" w:tentative="0">
      <w:start w:val="1"/>
      <w:numFmt w:val="lowerRoman"/>
      <w:lvlText w:val="%3."/>
      <w:lvlJc w:val="right"/>
      <w:pPr>
        <w:ind w:left="2460" w:hanging="420"/>
      </w:pPr>
    </w:lvl>
    <w:lvl w:ilvl="3" w:tentative="0">
      <w:start w:val="1"/>
      <w:numFmt w:val="decimal"/>
      <w:lvlText w:val="%4."/>
      <w:lvlJc w:val="left"/>
      <w:pPr>
        <w:ind w:left="2880" w:hanging="420"/>
      </w:pPr>
    </w:lvl>
    <w:lvl w:ilvl="4" w:tentative="0">
      <w:start w:val="1"/>
      <w:numFmt w:val="lowerLetter"/>
      <w:lvlText w:val="%5)"/>
      <w:lvlJc w:val="left"/>
      <w:pPr>
        <w:ind w:left="3300" w:hanging="420"/>
      </w:pPr>
    </w:lvl>
    <w:lvl w:ilvl="5" w:tentative="0">
      <w:start w:val="1"/>
      <w:numFmt w:val="lowerRoman"/>
      <w:lvlText w:val="%6."/>
      <w:lvlJc w:val="right"/>
      <w:pPr>
        <w:ind w:left="3720" w:hanging="420"/>
      </w:pPr>
    </w:lvl>
    <w:lvl w:ilvl="6" w:tentative="0">
      <w:start w:val="1"/>
      <w:numFmt w:val="decimal"/>
      <w:lvlText w:val="%7."/>
      <w:lvlJc w:val="left"/>
      <w:pPr>
        <w:ind w:left="4140" w:hanging="420"/>
      </w:pPr>
    </w:lvl>
    <w:lvl w:ilvl="7" w:tentative="0">
      <w:start w:val="1"/>
      <w:numFmt w:val="lowerLetter"/>
      <w:lvlText w:val="%8)"/>
      <w:lvlJc w:val="left"/>
      <w:pPr>
        <w:ind w:left="4560" w:hanging="420"/>
      </w:pPr>
    </w:lvl>
    <w:lvl w:ilvl="8" w:tentative="0">
      <w:start w:val="1"/>
      <w:numFmt w:val="lowerRoman"/>
      <w:lvlText w:val="%9."/>
      <w:lvlJc w:val="right"/>
      <w:pPr>
        <w:ind w:left="4980" w:hanging="420"/>
      </w:pPr>
    </w:lvl>
  </w:abstractNum>
  <w:abstractNum w:abstractNumId="3">
    <w:nsid w:val="B0C34A90"/>
    <w:multiLevelType w:val="multilevel"/>
    <w:tmpl w:val="B0C34A90"/>
    <w:lvl w:ilvl="0" w:tentative="0">
      <w:start w:val="1"/>
      <w:numFmt w:val="lowerLetter"/>
      <w:lvlText w:val="%1)"/>
      <w:lvlJc w:val="left"/>
      <w:pPr>
        <w:ind w:left="1620" w:hanging="420"/>
      </w:pPr>
    </w:lvl>
    <w:lvl w:ilvl="1" w:tentative="0">
      <w:start w:val="1"/>
      <w:numFmt w:val="decimal"/>
      <w:lvlText w:val="%2)"/>
      <w:lvlJc w:val="left"/>
      <w:pPr>
        <w:ind w:left="1980" w:hanging="360"/>
      </w:pPr>
      <w:rPr>
        <w:rFonts w:hint="default"/>
      </w:rPr>
    </w:lvl>
    <w:lvl w:ilvl="2" w:tentative="0">
      <w:start w:val="1"/>
      <w:numFmt w:val="lowerRoman"/>
      <w:lvlText w:val="%3."/>
      <w:lvlJc w:val="right"/>
      <w:pPr>
        <w:ind w:left="2460" w:hanging="420"/>
      </w:pPr>
    </w:lvl>
    <w:lvl w:ilvl="3" w:tentative="0">
      <w:start w:val="1"/>
      <w:numFmt w:val="decimal"/>
      <w:lvlText w:val="%4."/>
      <w:lvlJc w:val="left"/>
      <w:pPr>
        <w:ind w:left="2880" w:hanging="420"/>
      </w:pPr>
    </w:lvl>
    <w:lvl w:ilvl="4" w:tentative="0">
      <w:start w:val="1"/>
      <w:numFmt w:val="lowerLetter"/>
      <w:lvlText w:val="%5)"/>
      <w:lvlJc w:val="left"/>
      <w:pPr>
        <w:ind w:left="3300" w:hanging="420"/>
      </w:pPr>
    </w:lvl>
    <w:lvl w:ilvl="5" w:tentative="0">
      <w:start w:val="1"/>
      <w:numFmt w:val="lowerRoman"/>
      <w:lvlText w:val="%6."/>
      <w:lvlJc w:val="right"/>
      <w:pPr>
        <w:ind w:left="3720" w:hanging="420"/>
      </w:pPr>
    </w:lvl>
    <w:lvl w:ilvl="6" w:tentative="0">
      <w:start w:val="1"/>
      <w:numFmt w:val="decimal"/>
      <w:lvlText w:val="%7."/>
      <w:lvlJc w:val="left"/>
      <w:pPr>
        <w:ind w:left="4140" w:hanging="420"/>
      </w:pPr>
    </w:lvl>
    <w:lvl w:ilvl="7" w:tentative="0">
      <w:start w:val="1"/>
      <w:numFmt w:val="lowerLetter"/>
      <w:lvlText w:val="%8)"/>
      <w:lvlJc w:val="left"/>
      <w:pPr>
        <w:ind w:left="4560" w:hanging="420"/>
      </w:pPr>
    </w:lvl>
    <w:lvl w:ilvl="8" w:tentative="0">
      <w:start w:val="1"/>
      <w:numFmt w:val="lowerRoman"/>
      <w:lvlText w:val="%9."/>
      <w:lvlJc w:val="right"/>
      <w:pPr>
        <w:ind w:left="4980" w:hanging="420"/>
      </w:pPr>
    </w:lvl>
  </w:abstractNum>
  <w:abstractNum w:abstractNumId="4">
    <w:nsid w:val="C4D690F3"/>
    <w:multiLevelType w:val="multilevel"/>
    <w:tmpl w:val="C4D690F3"/>
    <w:lvl w:ilvl="0" w:tentative="0">
      <w:start w:val="1"/>
      <w:numFmt w:val="lowerLetter"/>
      <w:lvlText w:val="%1)"/>
      <w:lvlJc w:val="left"/>
      <w:pPr>
        <w:ind w:left="1620" w:hanging="420"/>
      </w:pPr>
    </w:lvl>
    <w:lvl w:ilvl="1" w:tentative="0">
      <w:start w:val="1"/>
      <w:numFmt w:val="decimal"/>
      <w:lvlText w:val="%2)"/>
      <w:lvlJc w:val="left"/>
      <w:pPr>
        <w:ind w:left="1980" w:hanging="360"/>
      </w:pPr>
      <w:rPr>
        <w:rFonts w:hint="default"/>
      </w:rPr>
    </w:lvl>
    <w:lvl w:ilvl="2" w:tentative="0">
      <w:start w:val="1"/>
      <w:numFmt w:val="lowerRoman"/>
      <w:lvlText w:val="%3."/>
      <w:lvlJc w:val="right"/>
      <w:pPr>
        <w:ind w:left="2460" w:hanging="420"/>
      </w:pPr>
    </w:lvl>
    <w:lvl w:ilvl="3" w:tentative="0">
      <w:start w:val="1"/>
      <w:numFmt w:val="decimal"/>
      <w:lvlText w:val="%4."/>
      <w:lvlJc w:val="left"/>
      <w:pPr>
        <w:ind w:left="2880" w:hanging="420"/>
      </w:pPr>
    </w:lvl>
    <w:lvl w:ilvl="4" w:tentative="0">
      <w:start w:val="1"/>
      <w:numFmt w:val="lowerLetter"/>
      <w:lvlText w:val="%5)"/>
      <w:lvlJc w:val="left"/>
      <w:pPr>
        <w:ind w:left="3300" w:hanging="420"/>
      </w:pPr>
    </w:lvl>
    <w:lvl w:ilvl="5" w:tentative="0">
      <w:start w:val="1"/>
      <w:numFmt w:val="lowerRoman"/>
      <w:lvlText w:val="%6."/>
      <w:lvlJc w:val="right"/>
      <w:pPr>
        <w:ind w:left="3720" w:hanging="420"/>
      </w:pPr>
    </w:lvl>
    <w:lvl w:ilvl="6" w:tentative="0">
      <w:start w:val="1"/>
      <w:numFmt w:val="decimal"/>
      <w:lvlText w:val="%7."/>
      <w:lvlJc w:val="left"/>
      <w:pPr>
        <w:ind w:left="4140" w:hanging="420"/>
      </w:pPr>
    </w:lvl>
    <w:lvl w:ilvl="7" w:tentative="0">
      <w:start w:val="1"/>
      <w:numFmt w:val="lowerLetter"/>
      <w:lvlText w:val="%8)"/>
      <w:lvlJc w:val="left"/>
      <w:pPr>
        <w:ind w:left="4560" w:hanging="420"/>
      </w:pPr>
    </w:lvl>
    <w:lvl w:ilvl="8" w:tentative="0">
      <w:start w:val="1"/>
      <w:numFmt w:val="lowerRoman"/>
      <w:lvlText w:val="%9."/>
      <w:lvlJc w:val="right"/>
      <w:pPr>
        <w:ind w:left="4980" w:hanging="420"/>
      </w:pPr>
    </w:lvl>
  </w:abstractNum>
  <w:abstractNum w:abstractNumId="5">
    <w:nsid w:val="CEC62CF7"/>
    <w:multiLevelType w:val="multilevel"/>
    <w:tmpl w:val="CEC62CF7"/>
    <w:lvl w:ilvl="0" w:tentative="0">
      <w:start w:val="1"/>
      <w:numFmt w:val="lowerLetter"/>
      <w:lvlText w:val="%1)"/>
      <w:lvlJc w:val="left"/>
      <w:pPr>
        <w:ind w:left="1620" w:hanging="420"/>
      </w:pPr>
    </w:lvl>
    <w:lvl w:ilvl="1" w:tentative="0">
      <w:start w:val="1"/>
      <w:numFmt w:val="decimal"/>
      <w:lvlText w:val="%2)"/>
      <w:lvlJc w:val="left"/>
      <w:pPr>
        <w:ind w:left="1980" w:hanging="360"/>
      </w:pPr>
      <w:rPr>
        <w:rFonts w:hint="default"/>
      </w:rPr>
    </w:lvl>
    <w:lvl w:ilvl="2" w:tentative="0">
      <w:start w:val="1"/>
      <w:numFmt w:val="lowerRoman"/>
      <w:lvlText w:val="%3."/>
      <w:lvlJc w:val="right"/>
      <w:pPr>
        <w:ind w:left="2460" w:hanging="420"/>
      </w:pPr>
    </w:lvl>
    <w:lvl w:ilvl="3" w:tentative="0">
      <w:start w:val="1"/>
      <w:numFmt w:val="decimal"/>
      <w:lvlText w:val="%4."/>
      <w:lvlJc w:val="left"/>
      <w:pPr>
        <w:ind w:left="2880" w:hanging="420"/>
      </w:pPr>
    </w:lvl>
    <w:lvl w:ilvl="4" w:tentative="0">
      <w:start w:val="1"/>
      <w:numFmt w:val="lowerLetter"/>
      <w:lvlText w:val="%5)"/>
      <w:lvlJc w:val="left"/>
      <w:pPr>
        <w:ind w:left="3300" w:hanging="420"/>
      </w:pPr>
    </w:lvl>
    <w:lvl w:ilvl="5" w:tentative="0">
      <w:start w:val="1"/>
      <w:numFmt w:val="lowerRoman"/>
      <w:lvlText w:val="%6."/>
      <w:lvlJc w:val="right"/>
      <w:pPr>
        <w:ind w:left="3720" w:hanging="420"/>
      </w:pPr>
    </w:lvl>
    <w:lvl w:ilvl="6" w:tentative="0">
      <w:start w:val="1"/>
      <w:numFmt w:val="decimal"/>
      <w:lvlText w:val="%7."/>
      <w:lvlJc w:val="left"/>
      <w:pPr>
        <w:ind w:left="4140" w:hanging="420"/>
      </w:pPr>
    </w:lvl>
    <w:lvl w:ilvl="7" w:tentative="0">
      <w:start w:val="1"/>
      <w:numFmt w:val="lowerLetter"/>
      <w:lvlText w:val="%8)"/>
      <w:lvlJc w:val="left"/>
      <w:pPr>
        <w:ind w:left="4560" w:hanging="420"/>
      </w:pPr>
    </w:lvl>
    <w:lvl w:ilvl="8" w:tentative="0">
      <w:start w:val="1"/>
      <w:numFmt w:val="lowerRoman"/>
      <w:lvlText w:val="%9."/>
      <w:lvlJc w:val="right"/>
      <w:pPr>
        <w:ind w:left="4980" w:hanging="420"/>
      </w:pPr>
    </w:lvl>
  </w:abstractNum>
  <w:abstractNum w:abstractNumId="6">
    <w:nsid w:val="F1F80CDF"/>
    <w:multiLevelType w:val="multilevel"/>
    <w:tmpl w:val="F1F80CDF"/>
    <w:lvl w:ilvl="0" w:tentative="0">
      <w:start w:val="1"/>
      <w:numFmt w:val="lowerLetter"/>
      <w:lvlText w:val="%1)"/>
      <w:lvlJc w:val="left"/>
      <w:pPr>
        <w:ind w:left="1620" w:hanging="420"/>
      </w:pPr>
    </w:lvl>
    <w:lvl w:ilvl="1" w:tentative="0">
      <w:start w:val="1"/>
      <w:numFmt w:val="decimal"/>
      <w:lvlText w:val="%2)"/>
      <w:lvlJc w:val="left"/>
      <w:pPr>
        <w:ind w:left="1980" w:hanging="360"/>
      </w:pPr>
      <w:rPr>
        <w:rFonts w:hint="default"/>
      </w:rPr>
    </w:lvl>
    <w:lvl w:ilvl="2" w:tentative="0">
      <w:start w:val="1"/>
      <w:numFmt w:val="lowerRoman"/>
      <w:lvlText w:val="%3."/>
      <w:lvlJc w:val="right"/>
      <w:pPr>
        <w:ind w:left="2460" w:hanging="420"/>
      </w:pPr>
    </w:lvl>
    <w:lvl w:ilvl="3" w:tentative="0">
      <w:start w:val="1"/>
      <w:numFmt w:val="decimal"/>
      <w:lvlText w:val="%4."/>
      <w:lvlJc w:val="left"/>
      <w:pPr>
        <w:ind w:left="2880" w:hanging="420"/>
      </w:pPr>
    </w:lvl>
    <w:lvl w:ilvl="4" w:tentative="0">
      <w:start w:val="1"/>
      <w:numFmt w:val="lowerLetter"/>
      <w:lvlText w:val="%5)"/>
      <w:lvlJc w:val="left"/>
      <w:pPr>
        <w:ind w:left="3300" w:hanging="420"/>
      </w:pPr>
    </w:lvl>
    <w:lvl w:ilvl="5" w:tentative="0">
      <w:start w:val="1"/>
      <w:numFmt w:val="lowerRoman"/>
      <w:lvlText w:val="%6."/>
      <w:lvlJc w:val="right"/>
      <w:pPr>
        <w:ind w:left="3720" w:hanging="420"/>
      </w:pPr>
    </w:lvl>
    <w:lvl w:ilvl="6" w:tentative="0">
      <w:start w:val="1"/>
      <w:numFmt w:val="decimal"/>
      <w:lvlText w:val="%7."/>
      <w:lvlJc w:val="left"/>
      <w:pPr>
        <w:ind w:left="4140" w:hanging="420"/>
      </w:pPr>
    </w:lvl>
    <w:lvl w:ilvl="7" w:tentative="0">
      <w:start w:val="1"/>
      <w:numFmt w:val="lowerLetter"/>
      <w:lvlText w:val="%8)"/>
      <w:lvlJc w:val="left"/>
      <w:pPr>
        <w:ind w:left="4560" w:hanging="420"/>
      </w:pPr>
    </w:lvl>
    <w:lvl w:ilvl="8" w:tentative="0">
      <w:start w:val="1"/>
      <w:numFmt w:val="lowerRoman"/>
      <w:lvlText w:val="%9."/>
      <w:lvlJc w:val="right"/>
      <w:pPr>
        <w:ind w:left="4980" w:hanging="420"/>
      </w:pPr>
    </w:lvl>
  </w:abstractNum>
  <w:abstractNum w:abstractNumId="7">
    <w:nsid w:val="F3491ADE"/>
    <w:multiLevelType w:val="multilevel"/>
    <w:tmpl w:val="F3491ADE"/>
    <w:lvl w:ilvl="0" w:tentative="0">
      <w:start w:val="1"/>
      <w:numFmt w:val="lowerLetter"/>
      <w:lvlText w:val="%1)"/>
      <w:lvlJc w:val="left"/>
      <w:pPr>
        <w:ind w:left="1620" w:hanging="420"/>
      </w:pPr>
    </w:lvl>
    <w:lvl w:ilvl="1" w:tentative="0">
      <w:start w:val="1"/>
      <w:numFmt w:val="decimal"/>
      <w:lvlText w:val="%2)"/>
      <w:lvlJc w:val="left"/>
      <w:pPr>
        <w:ind w:left="1980" w:hanging="360"/>
      </w:pPr>
      <w:rPr>
        <w:rFonts w:hint="default"/>
      </w:rPr>
    </w:lvl>
    <w:lvl w:ilvl="2" w:tentative="0">
      <w:start w:val="1"/>
      <w:numFmt w:val="lowerRoman"/>
      <w:lvlText w:val="%3."/>
      <w:lvlJc w:val="right"/>
      <w:pPr>
        <w:ind w:left="2460" w:hanging="420"/>
      </w:pPr>
    </w:lvl>
    <w:lvl w:ilvl="3" w:tentative="0">
      <w:start w:val="1"/>
      <w:numFmt w:val="decimal"/>
      <w:lvlText w:val="%4."/>
      <w:lvlJc w:val="left"/>
      <w:pPr>
        <w:ind w:left="2880" w:hanging="420"/>
      </w:pPr>
    </w:lvl>
    <w:lvl w:ilvl="4" w:tentative="0">
      <w:start w:val="1"/>
      <w:numFmt w:val="lowerLetter"/>
      <w:lvlText w:val="%5)"/>
      <w:lvlJc w:val="left"/>
      <w:pPr>
        <w:ind w:left="3300" w:hanging="420"/>
      </w:pPr>
    </w:lvl>
    <w:lvl w:ilvl="5" w:tentative="0">
      <w:start w:val="1"/>
      <w:numFmt w:val="lowerRoman"/>
      <w:lvlText w:val="%6."/>
      <w:lvlJc w:val="right"/>
      <w:pPr>
        <w:ind w:left="3720" w:hanging="420"/>
      </w:pPr>
    </w:lvl>
    <w:lvl w:ilvl="6" w:tentative="0">
      <w:start w:val="1"/>
      <w:numFmt w:val="decimal"/>
      <w:lvlText w:val="%7."/>
      <w:lvlJc w:val="left"/>
      <w:pPr>
        <w:ind w:left="4140" w:hanging="420"/>
      </w:pPr>
    </w:lvl>
    <w:lvl w:ilvl="7" w:tentative="0">
      <w:start w:val="1"/>
      <w:numFmt w:val="lowerLetter"/>
      <w:lvlText w:val="%8)"/>
      <w:lvlJc w:val="left"/>
      <w:pPr>
        <w:ind w:left="4560" w:hanging="420"/>
      </w:pPr>
    </w:lvl>
    <w:lvl w:ilvl="8" w:tentative="0">
      <w:start w:val="1"/>
      <w:numFmt w:val="lowerRoman"/>
      <w:lvlText w:val="%9."/>
      <w:lvlJc w:val="right"/>
      <w:pPr>
        <w:ind w:left="4980" w:hanging="420"/>
      </w:pPr>
    </w:lvl>
  </w:abstractNum>
  <w:abstractNum w:abstractNumId="8">
    <w:nsid w:val="0515341B"/>
    <w:multiLevelType w:val="multilevel"/>
    <w:tmpl w:val="0515341B"/>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
    <w:nsid w:val="0C787C2F"/>
    <w:multiLevelType w:val="multilevel"/>
    <w:tmpl w:val="0C787C2F"/>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0">
    <w:nsid w:val="16CC3A54"/>
    <w:multiLevelType w:val="multilevel"/>
    <w:tmpl w:val="16CC3A54"/>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18856645"/>
    <w:multiLevelType w:val="multilevel"/>
    <w:tmpl w:val="18856645"/>
    <w:lvl w:ilvl="0" w:tentative="0">
      <w:start w:val="1"/>
      <w:numFmt w:val="lowerLetter"/>
      <w:lvlText w:val="%1)"/>
      <w:lvlJc w:val="left"/>
      <w:pPr>
        <w:tabs>
          <w:tab w:val="left" w:pos="1050"/>
        </w:tabs>
        <w:ind w:left="1050" w:hanging="690"/>
      </w:pPr>
      <w:rPr>
        <w:rFonts w:hint="eastAsia"/>
      </w:rPr>
    </w:lvl>
    <w:lvl w:ilvl="1" w:tentative="0">
      <w:start w:val="1"/>
      <w:numFmt w:val="decimal"/>
      <w:lvlText w:val="%2）"/>
      <w:lvlJc w:val="left"/>
      <w:pPr>
        <w:tabs>
          <w:tab w:val="left" w:pos="1140"/>
        </w:tabs>
        <w:ind w:left="1140" w:hanging="360"/>
      </w:pPr>
      <w:rPr>
        <w:rFonts w:hint="eastAsia"/>
      </w:r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12">
    <w:nsid w:val="19947EAE"/>
    <w:multiLevelType w:val="multilevel"/>
    <w:tmpl w:val="19947EAE"/>
    <w:lvl w:ilvl="0" w:tentative="0">
      <w:start w:val="1"/>
      <w:numFmt w:val="lowerLetter"/>
      <w:lvlText w:val="%1)"/>
      <w:lvlJc w:val="left"/>
      <w:pPr>
        <w:tabs>
          <w:tab w:val="left" w:pos="1050"/>
        </w:tabs>
        <w:ind w:left="1050" w:hanging="690"/>
      </w:pPr>
      <w:rPr>
        <w:rFonts w:hint="eastAsia"/>
      </w:rPr>
    </w:lvl>
    <w:lvl w:ilvl="1" w:tentative="0">
      <w:start w:val="1"/>
      <w:numFmt w:val="decimal"/>
      <w:lvlText w:val="%2）"/>
      <w:lvlJc w:val="left"/>
      <w:pPr>
        <w:tabs>
          <w:tab w:val="left" w:pos="1140"/>
        </w:tabs>
        <w:ind w:left="1140" w:hanging="360"/>
      </w:pPr>
      <w:rPr>
        <w:rFonts w:hint="eastAsia"/>
      </w:r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13">
    <w:nsid w:val="1A69658B"/>
    <w:multiLevelType w:val="multilevel"/>
    <w:tmpl w:val="1A69658B"/>
    <w:lvl w:ilvl="0" w:tentative="0">
      <w:start w:val="1"/>
      <w:numFmt w:val="lowerLetter"/>
      <w:lvlText w:val="%1)"/>
      <w:lvlJc w:val="left"/>
      <w:pPr>
        <w:ind w:left="1620" w:hanging="420"/>
      </w:pPr>
    </w:lvl>
    <w:lvl w:ilvl="1" w:tentative="0">
      <w:start w:val="1"/>
      <w:numFmt w:val="decimal"/>
      <w:lvlText w:val="%2)"/>
      <w:lvlJc w:val="left"/>
      <w:pPr>
        <w:ind w:left="1980" w:hanging="360"/>
      </w:pPr>
      <w:rPr>
        <w:rFonts w:hint="default"/>
      </w:rPr>
    </w:lvl>
    <w:lvl w:ilvl="2" w:tentative="0">
      <w:start w:val="1"/>
      <w:numFmt w:val="lowerRoman"/>
      <w:lvlText w:val="%3."/>
      <w:lvlJc w:val="right"/>
      <w:pPr>
        <w:ind w:left="2460" w:hanging="420"/>
      </w:pPr>
    </w:lvl>
    <w:lvl w:ilvl="3" w:tentative="0">
      <w:start w:val="1"/>
      <w:numFmt w:val="decimal"/>
      <w:lvlText w:val="%4."/>
      <w:lvlJc w:val="left"/>
      <w:pPr>
        <w:ind w:left="2880" w:hanging="420"/>
      </w:pPr>
    </w:lvl>
    <w:lvl w:ilvl="4" w:tentative="0">
      <w:start w:val="1"/>
      <w:numFmt w:val="lowerLetter"/>
      <w:lvlText w:val="%5)"/>
      <w:lvlJc w:val="left"/>
      <w:pPr>
        <w:ind w:left="3300" w:hanging="420"/>
      </w:pPr>
    </w:lvl>
    <w:lvl w:ilvl="5" w:tentative="0">
      <w:start w:val="1"/>
      <w:numFmt w:val="lowerRoman"/>
      <w:lvlText w:val="%6."/>
      <w:lvlJc w:val="right"/>
      <w:pPr>
        <w:ind w:left="3720" w:hanging="420"/>
      </w:pPr>
    </w:lvl>
    <w:lvl w:ilvl="6" w:tentative="0">
      <w:start w:val="1"/>
      <w:numFmt w:val="decimal"/>
      <w:lvlText w:val="%7."/>
      <w:lvlJc w:val="left"/>
      <w:pPr>
        <w:ind w:left="4140" w:hanging="420"/>
      </w:pPr>
    </w:lvl>
    <w:lvl w:ilvl="7" w:tentative="0">
      <w:start w:val="1"/>
      <w:numFmt w:val="lowerLetter"/>
      <w:lvlText w:val="%8)"/>
      <w:lvlJc w:val="left"/>
      <w:pPr>
        <w:ind w:left="4560" w:hanging="420"/>
      </w:pPr>
    </w:lvl>
    <w:lvl w:ilvl="8" w:tentative="0">
      <w:start w:val="1"/>
      <w:numFmt w:val="lowerRoman"/>
      <w:lvlText w:val="%9."/>
      <w:lvlJc w:val="right"/>
      <w:pPr>
        <w:ind w:left="4980" w:hanging="420"/>
      </w:pPr>
    </w:lvl>
  </w:abstractNum>
  <w:abstractNum w:abstractNumId="14">
    <w:nsid w:val="23EE233C"/>
    <w:multiLevelType w:val="multilevel"/>
    <w:tmpl w:val="23EE233C"/>
    <w:lvl w:ilvl="0" w:tentative="0">
      <w:start w:val="1"/>
      <w:numFmt w:val="lowerLetter"/>
      <w:lvlText w:val="%1)"/>
      <w:lvlJc w:val="left"/>
      <w:pPr>
        <w:tabs>
          <w:tab w:val="left" w:pos="1082"/>
        </w:tabs>
        <w:ind w:left="1082" w:hanging="360"/>
      </w:pPr>
      <w:rPr>
        <w:rFonts w:hint="eastAsia"/>
      </w:rPr>
    </w:lvl>
    <w:lvl w:ilvl="1" w:tentative="0">
      <w:start w:val="1"/>
      <w:numFmt w:val="lowerLetter"/>
      <w:lvlText w:val="%2)"/>
      <w:lvlJc w:val="left"/>
      <w:pPr>
        <w:tabs>
          <w:tab w:val="left" w:pos="1562"/>
        </w:tabs>
        <w:ind w:left="1562" w:hanging="420"/>
      </w:pPr>
    </w:lvl>
    <w:lvl w:ilvl="2" w:tentative="0">
      <w:start w:val="1"/>
      <w:numFmt w:val="lowerRoman"/>
      <w:lvlText w:val="%3."/>
      <w:lvlJc w:val="right"/>
      <w:pPr>
        <w:tabs>
          <w:tab w:val="left" w:pos="1982"/>
        </w:tabs>
        <w:ind w:left="1982" w:hanging="420"/>
      </w:pPr>
    </w:lvl>
    <w:lvl w:ilvl="3" w:tentative="0">
      <w:start w:val="1"/>
      <w:numFmt w:val="decimal"/>
      <w:lvlText w:val="%4."/>
      <w:lvlJc w:val="left"/>
      <w:pPr>
        <w:tabs>
          <w:tab w:val="left" w:pos="2402"/>
        </w:tabs>
        <w:ind w:left="2402" w:hanging="420"/>
      </w:pPr>
    </w:lvl>
    <w:lvl w:ilvl="4" w:tentative="0">
      <w:start w:val="1"/>
      <w:numFmt w:val="lowerLetter"/>
      <w:lvlText w:val="%5)"/>
      <w:lvlJc w:val="left"/>
      <w:pPr>
        <w:tabs>
          <w:tab w:val="left" w:pos="2822"/>
        </w:tabs>
        <w:ind w:left="2822" w:hanging="420"/>
      </w:pPr>
    </w:lvl>
    <w:lvl w:ilvl="5" w:tentative="0">
      <w:start w:val="1"/>
      <w:numFmt w:val="lowerRoman"/>
      <w:lvlText w:val="%6."/>
      <w:lvlJc w:val="right"/>
      <w:pPr>
        <w:tabs>
          <w:tab w:val="left" w:pos="3242"/>
        </w:tabs>
        <w:ind w:left="3242" w:hanging="420"/>
      </w:pPr>
    </w:lvl>
    <w:lvl w:ilvl="6" w:tentative="0">
      <w:start w:val="1"/>
      <w:numFmt w:val="decimal"/>
      <w:lvlText w:val="%7."/>
      <w:lvlJc w:val="left"/>
      <w:pPr>
        <w:tabs>
          <w:tab w:val="left" w:pos="3662"/>
        </w:tabs>
        <w:ind w:left="3662" w:hanging="420"/>
      </w:pPr>
    </w:lvl>
    <w:lvl w:ilvl="7" w:tentative="0">
      <w:start w:val="1"/>
      <w:numFmt w:val="lowerLetter"/>
      <w:lvlText w:val="%8)"/>
      <w:lvlJc w:val="left"/>
      <w:pPr>
        <w:tabs>
          <w:tab w:val="left" w:pos="4082"/>
        </w:tabs>
        <w:ind w:left="4082" w:hanging="420"/>
      </w:pPr>
    </w:lvl>
    <w:lvl w:ilvl="8" w:tentative="0">
      <w:start w:val="1"/>
      <w:numFmt w:val="lowerRoman"/>
      <w:lvlText w:val="%9."/>
      <w:lvlJc w:val="right"/>
      <w:pPr>
        <w:tabs>
          <w:tab w:val="left" w:pos="4502"/>
        </w:tabs>
        <w:ind w:left="4502" w:hanging="420"/>
      </w:pPr>
    </w:lvl>
  </w:abstractNum>
  <w:abstractNum w:abstractNumId="15">
    <w:nsid w:val="2D2B0A28"/>
    <w:multiLevelType w:val="multilevel"/>
    <w:tmpl w:val="2D2B0A28"/>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6">
    <w:nsid w:val="33266C07"/>
    <w:multiLevelType w:val="multilevel"/>
    <w:tmpl w:val="33266C07"/>
    <w:lvl w:ilvl="0" w:tentative="0">
      <w:start w:val="1"/>
      <w:numFmt w:val="lowerLetter"/>
      <w:lvlText w:val="%1)"/>
      <w:lvlJc w:val="left"/>
      <w:pPr>
        <w:tabs>
          <w:tab w:val="left" w:pos="1082"/>
        </w:tabs>
        <w:ind w:left="1082" w:hanging="360"/>
      </w:pPr>
      <w:rPr>
        <w:rFonts w:hint="eastAsia"/>
      </w:rPr>
    </w:lvl>
    <w:lvl w:ilvl="1" w:tentative="0">
      <w:start w:val="1"/>
      <w:numFmt w:val="lowerLetter"/>
      <w:lvlText w:val="%2)"/>
      <w:lvlJc w:val="left"/>
      <w:pPr>
        <w:tabs>
          <w:tab w:val="left" w:pos="1562"/>
        </w:tabs>
        <w:ind w:left="1562" w:hanging="420"/>
      </w:pPr>
    </w:lvl>
    <w:lvl w:ilvl="2" w:tentative="0">
      <w:start w:val="1"/>
      <w:numFmt w:val="lowerRoman"/>
      <w:lvlText w:val="%3."/>
      <w:lvlJc w:val="right"/>
      <w:pPr>
        <w:tabs>
          <w:tab w:val="left" w:pos="1982"/>
        </w:tabs>
        <w:ind w:left="1982" w:hanging="420"/>
      </w:pPr>
    </w:lvl>
    <w:lvl w:ilvl="3" w:tentative="0">
      <w:start w:val="1"/>
      <w:numFmt w:val="decimal"/>
      <w:lvlText w:val="%4."/>
      <w:lvlJc w:val="left"/>
      <w:pPr>
        <w:tabs>
          <w:tab w:val="left" w:pos="2402"/>
        </w:tabs>
        <w:ind w:left="2402" w:hanging="420"/>
      </w:pPr>
    </w:lvl>
    <w:lvl w:ilvl="4" w:tentative="0">
      <w:start w:val="1"/>
      <w:numFmt w:val="lowerLetter"/>
      <w:lvlText w:val="%5)"/>
      <w:lvlJc w:val="left"/>
      <w:pPr>
        <w:tabs>
          <w:tab w:val="left" w:pos="2822"/>
        </w:tabs>
        <w:ind w:left="2822" w:hanging="420"/>
      </w:pPr>
    </w:lvl>
    <w:lvl w:ilvl="5" w:tentative="0">
      <w:start w:val="1"/>
      <w:numFmt w:val="lowerRoman"/>
      <w:lvlText w:val="%6."/>
      <w:lvlJc w:val="right"/>
      <w:pPr>
        <w:tabs>
          <w:tab w:val="left" w:pos="3242"/>
        </w:tabs>
        <w:ind w:left="3242" w:hanging="420"/>
      </w:pPr>
    </w:lvl>
    <w:lvl w:ilvl="6" w:tentative="0">
      <w:start w:val="1"/>
      <w:numFmt w:val="decimal"/>
      <w:lvlText w:val="%7."/>
      <w:lvlJc w:val="left"/>
      <w:pPr>
        <w:tabs>
          <w:tab w:val="left" w:pos="3662"/>
        </w:tabs>
        <w:ind w:left="3662" w:hanging="420"/>
      </w:pPr>
    </w:lvl>
    <w:lvl w:ilvl="7" w:tentative="0">
      <w:start w:val="1"/>
      <w:numFmt w:val="lowerLetter"/>
      <w:lvlText w:val="%8)"/>
      <w:lvlJc w:val="left"/>
      <w:pPr>
        <w:tabs>
          <w:tab w:val="left" w:pos="4082"/>
        </w:tabs>
        <w:ind w:left="4082" w:hanging="420"/>
      </w:pPr>
    </w:lvl>
    <w:lvl w:ilvl="8" w:tentative="0">
      <w:start w:val="1"/>
      <w:numFmt w:val="lowerRoman"/>
      <w:lvlText w:val="%9."/>
      <w:lvlJc w:val="right"/>
      <w:pPr>
        <w:tabs>
          <w:tab w:val="left" w:pos="4502"/>
        </w:tabs>
        <w:ind w:left="4502" w:hanging="420"/>
      </w:pPr>
    </w:lvl>
  </w:abstractNum>
  <w:abstractNum w:abstractNumId="17">
    <w:nsid w:val="39367964"/>
    <w:multiLevelType w:val="multilevel"/>
    <w:tmpl w:val="39367964"/>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3C943EA4"/>
    <w:multiLevelType w:val="multilevel"/>
    <w:tmpl w:val="3C943EA4"/>
    <w:lvl w:ilvl="0" w:tentative="0">
      <w:start w:val="1"/>
      <w:numFmt w:val="lowerLetter"/>
      <w:lvlText w:val="%1)"/>
      <w:lvlJc w:val="left"/>
      <w:pPr>
        <w:tabs>
          <w:tab w:val="left" w:pos="719"/>
        </w:tabs>
        <w:ind w:left="719" w:hanging="360"/>
      </w:pPr>
      <w:rPr>
        <w:rFonts w:hint="eastAsia"/>
      </w:rPr>
    </w:lvl>
    <w:lvl w:ilvl="1" w:tentative="0">
      <w:start w:val="1"/>
      <w:numFmt w:val="decimal"/>
      <w:lvlText w:val="%2）"/>
      <w:lvlJc w:val="left"/>
      <w:pPr>
        <w:tabs>
          <w:tab w:val="left" w:pos="1139"/>
        </w:tabs>
        <w:ind w:left="1139" w:hanging="360"/>
      </w:pPr>
      <w:rPr>
        <w:rFonts w:hint="eastAsia"/>
      </w:rPr>
    </w:lvl>
    <w:lvl w:ilvl="2" w:tentative="0">
      <w:start w:val="1"/>
      <w:numFmt w:val="lowerRoman"/>
      <w:lvlText w:val="%3."/>
      <w:lvlJc w:val="right"/>
      <w:pPr>
        <w:tabs>
          <w:tab w:val="left" w:pos="1619"/>
        </w:tabs>
        <w:ind w:left="1619" w:hanging="420"/>
      </w:pPr>
    </w:lvl>
    <w:lvl w:ilvl="3" w:tentative="0">
      <w:start w:val="1"/>
      <w:numFmt w:val="decimal"/>
      <w:lvlText w:val="%4."/>
      <w:lvlJc w:val="left"/>
      <w:pPr>
        <w:tabs>
          <w:tab w:val="left" w:pos="2039"/>
        </w:tabs>
        <w:ind w:left="2039" w:hanging="420"/>
      </w:pPr>
    </w:lvl>
    <w:lvl w:ilvl="4" w:tentative="0">
      <w:start w:val="1"/>
      <w:numFmt w:val="lowerLetter"/>
      <w:lvlText w:val="%5)"/>
      <w:lvlJc w:val="left"/>
      <w:pPr>
        <w:tabs>
          <w:tab w:val="left" w:pos="2459"/>
        </w:tabs>
        <w:ind w:left="2459" w:hanging="420"/>
      </w:pPr>
    </w:lvl>
    <w:lvl w:ilvl="5" w:tentative="0">
      <w:start w:val="1"/>
      <w:numFmt w:val="lowerRoman"/>
      <w:lvlText w:val="%6."/>
      <w:lvlJc w:val="right"/>
      <w:pPr>
        <w:tabs>
          <w:tab w:val="left" w:pos="2879"/>
        </w:tabs>
        <w:ind w:left="2879" w:hanging="420"/>
      </w:pPr>
    </w:lvl>
    <w:lvl w:ilvl="6" w:tentative="0">
      <w:start w:val="1"/>
      <w:numFmt w:val="decimal"/>
      <w:lvlText w:val="%7."/>
      <w:lvlJc w:val="left"/>
      <w:pPr>
        <w:tabs>
          <w:tab w:val="left" w:pos="3299"/>
        </w:tabs>
        <w:ind w:left="3299" w:hanging="420"/>
      </w:pPr>
    </w:lvl>
    <w:lvl w:ilvl="7" w:tentative="0">
      <w:start w:val="1"/>
      <w:numFmt w:val="lowerLetter"/>
      <w:lvlText w:val="%8)"/>
      <w:lvlJc w:val="left"/>
      <w:pPr>
        <w:tabs>
          <w:tab w:val="left" w:pos="3719"/>
        </w:tabs>
        <w:ind w:left="3719" w:hanging="420"/>
      </w:pPr>
    </w:lvl>
    <w:lvl w:ilvl="8" w:tentative="0">
      <w:start w:val="1"/>
      <w:numFmt w:val="lowerRoman"/>
      <w:lvlText w:val="%9."/>
      <w:lvlJc w:val="right"/>
      <w:pPr>
        <w:tabs>
          <w:tab w:val="left" w:pos="4139"/>
        </w:tabs>
        <w:ind w:left="4139" w:hanging="420"/>
      </w:pPr>
    </w:lvl>
  </w:abstractNum>
  <w:abstractNum w:abstractNumId="19">
    <w:nsid w:val="45BC0B98"/>
    <w:multiLevelType w:val="multilevel"/>
    <w:tmpl w:val="45BC0B98"/>
    <w:lvl w:ilvl="0" w:tentative="0">
      <w:start w:val="1"/>
      <w:numFmt w:val="lowerLetter"/>
      <w:lvlText w:val="%1)"/>
      <w:lvlJc w:val="left"/>
      <w:pPr>
        <w:tabs>
          <w:tab w:val="left" w:pos="720"/>
        </w:tabs>
        <w:ind w:left="720" w:hanging="360"/>
      </w:pPr>
      <w:rPr>
        <w:rFonts w:hint="eastAsia"/>
      </w:rPr>
    </w:lvl>
    <w:lvl w:ilvl="1" w:tentative="0">
      <w:start w:val="1"/>
      <w:numFmt w:val="lowerLetter"/>
      <w:lvlText w:val="%2)"/>
      <w:lvlJc w:val="left"/>
      <w:pPr>
        <w:tabs>
          <w:tab w:val="left" w:pos="1200"/>
        </w:tabs>
        <w:ind w:left="1200" w:hanging="420"/>
      </w:p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20">
    <w:nsid w:val="4C3C676F"/>
    <w:multiLevelType w:val="multilevel"/>
    <w:tmpl w:val="4C3C676F"/>
    <w:lvl w:ilvl="0" w:tentative="0">
      <w:start w:val="1"/>
      <w:numFmt w:val="lowerLetter"/>
      <w:lvlText w:val="%1)"/>
      <w:lvlJc w:val="left"/>
      <w:pPr>
        <w:tabs>
          <w:tab w:val="left" w:pos="719"/>
        </w:tabs>
        <w:ind w:left="719" w:hanging="360"/>
      </w:pPr>
      <w:rPr>
        <w:rFonts w:hint="eastAsia"/>
      </w:rPr>
    </w:lvl>
    <w:lvl w:ilvl="1" w:tentative="0">
      <w:start w:val="1"/>
      <w:numFmt w:val="decimal"/>
      <w:lvlText w:val="%2）"/>
      <w:lvlJc w:val="left"/>
      <w:pPr>
        <w:tabs>
          <w:tab w:val="left" w:pos="1139"/>
        </w:tabs>
        <w:ind w:left="1139" w:hanging="360"/>
      </w:pPr>
      <w:rPr>
        <w:rFonts w:hint="eastAsia"/>
      </w:rPr>
    </w:lvl>
    <w:lvl w:ilvl="2" w:tentative="0">
      <w:start w:val="1"/>
      <w:numFmt w:val="lowerRoman"/>
      <w:lvlText w:val="%3."/>
      <w:lvlJc w:val="right"/>
      <w:pPr>
        <w:tabs>
          <w:tab w:val="left" w:pos="1619"/>
        </w:tabs>
        <w:ind w:left="1619" w:hanging="420"/>
      </w:pPr>
    </w:lvl>
    <w:lvl w:ilvl="3" w:tentative="0">
      <w:start w:val="1"/>
      <w:numFmt w:val="decimal"/>
      <w:lvlText w:val="%4."/>
      <w:lvlJc w:val="left"/>
      <w:pPr>
        <w:tabs>
          <w:tab w:val="left" w:pos="2039"/>
        </w:tabs>
        <w:ind w:left="2039" w:hanging="420"/>
      </w:pPr>
    </w:lvl>
    <w:lvl w:ilvl="4" w:tentative="0">
      <w:start w:val="1"/>
      <w:numFmt w:val="lowerLetter"/>
      <w:lvlText w:val="%5)"/>
      <w:lvlJc w:val="left"/>
      <w:pPr>
        <w:tabs>
          <w:tab w:val="left" w:pos="2459"/>
        </w:tabs>
        <w:ind w:left="2459" w:hanging="420"/>
      </w:pPr>
    </w:lvl>
    <w:lvl w:ilvl="5" w:tentative="0">
      <w:start w:val="1"/>
      <w:numFmt w:val="lowerRoman"/>
      <w:lvlText w:val="%6."/>
      <w:lvlJc w:val="right"/>
      <w:pPr>
        <w:tabs>
          <w:tab w:val="left" w:pos="2879"/>
        </w:tabs>
        <w:ind w:left="2879" w:hanging="420"/>
      </w:pPr>
    </w:lvl>
    <w:lvl w:ilvl="6" w:tentative="0">
      <w:start w:val="1"/>
      <w:numFmt w:val="decimal"/>
      <w:lvlText w:val="%7."/>
      <w:lvlJc w:val="left"/>
      <w:pPr>
        <w:tabs>
          <w:tab w:val="left" w:pos="3299"/>
        </w:tabs>
        <w:ind w:left="3299" w:hanging="420"/>
      </w:pPr>
    </w:lvl>
    <w:lvl w:ilvl="7" w:tentative="0">
      <w:start w:val="1"/>
      <w:numFmt w:val="lowerLetter"/>
      <w:lvlText w:val="%8)"/>
      <w:lvlJc w:val="left"/>
      <w:pPr>
        <w:tabs>
          <w:tab w:val="left" w:pos="3719"/>
        </w:tabs>
        <w:ind w:left="3719" w:hanging="420"/>
      </w:pPr>
    </w:lvl>
    <w:lvl w:ilvl="8" w:tentative="0">
      <w:start w:val="1"/>
      <w:numFmt w:val="lowerRoman"/>
      <w:lvlText w:val="%9."/>
      <w:lvlJc w:val="right"/>
      <w:pPr>
        <w:tabs>
          <w:tab w:val="left" w:pos="4139"/>
        </w:tabs>
        <w:ind w:left="4139" w:hanging="420"/>
      </w:pPr>
    </w:lvl>
  </w:abstractNum>
  <w:abstractNum w:abstractNumId="21">
    <w:nsid w:val="5588054B"/>
    <w:multiLevelType w:val="multilevel"/>
    <w:tmpl w:val="5588054B"/>
    <w:lvl w:ilvl="0" w:tentative="0">
      <w:start w:val="1"/>
      <w:numFmt w:val="lowerLetter"/>
      <w:lvlText w:val="%1)"/>
      <w:lvlJc w:val="left"/>
      <w:pPr>
        <w:tabs>
          <w:tab w:val="left" w:pos="1050"/>
        </w:tabs>
        <w:ind w:left="1050" w:hanging="690"/>
      </w:pPr>
      <w:rPr>
        <w:rFonts w:hint="eastAsia"/>
      </w:rPr>
    </w:lvl>
    <w:lvl w:ilvl="1" w:tentative="0">
      <w:start w:val="1"/>
      <w:numFmt w:val="lowerLetter"/>
      <w:lvlText w:val="%2)"/>
      <w:lvlJc w:val="left"/>
      <w:pPr>
        <w:tabs>
          <w:tab w:val="left" w:pos="1140"/>
        </w:tabs>
        <w:ind w:left="1140" w:hanging="360"/>
      </w:pPr>
      <w:rPr>
        <w:rFonts w:hint="eastAsia"/>
      </w:r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22">
    <w:nsid w:val="620C36AF"/>
    <w:multiLevelType w:val="multilevel"/>
    <w:tmpl w:val="620C36AF"/>
    <w:lvl w:ilvl="0" w:tentative="0">
      <w:start w:val="1"/>
      <w:numFmt w:val="lowerLetter"/>
      <w:lvlText w:val="%1)"/>
      <w:lvlJc w:val="left"/>
      <w:pPr>
        <w:tabs>
          <w:tab w:val="left" w:pos="719"/>
        </w:tabs>
        <w:ind w:left="719" w:hanging="360"/>
      </w:pPr>
      <w:rPr>
        <w:rFonts w:hint="eastAsia"/>
      </w:rPr>
    </w:lvl>
    <w:lvl w:ilvl="1" w:tentative="0">
      <w:start w:val="1"/>
      <w:numFmt w:val="lowerLetter"/>
      <w:lvlText w:val="%2)"/>
      <w:lvlJc w:val="left"/>
      <w:pPr>
        <w:tabs>
          <w:tab w:val="left" w:pos="1139"/>
        </w:tabs>
        <w:ind w:left="1139" w:hanging="360"/>
      </w:pPr>
      <w:rPr>
        <w:rFonts w:hint="eastAsia"/>
      </w:rPr>
    </w:lvl>
    <w:lvl w:ilvl="2" w:tentative="0">
      <w:start w:val="1"/>
      <w:numFmt w:val="lowerLetter"/>
      <w:lvlText w:val="%3)"/>
      <w:lvlJc w:val="left"/>
      <w:pPr>
        <w:tabs>
          <w:tab w:val="left" w:pos="720"/>
        </w:tabs>
        <w:ind w:left="720" w:hanging="360"/>
      </w:pPr>
      <w:rPr>
        <w:rFonts w:hint="eastAsia"/>
      </w:rPr>
    </w:lvl>
    <w:lvl w:ilvl="3" w:tentative="0">
      <w:start w:val="1"/>
      <w:numFmt w:val="decimal"/>
      <w:lvlText w:val="%4."/>
      <w:lvlJc w:val="left"/>
      <w:pPr>
        <w:tabs>
          <w:tab w:val="left" w:pos="2039"/>
        </w:tabs>
        <w:ind w:left="2039" w:hanging="420"/>
      </w:pPr>
    </w:lvl>
    <w:lvl w:ilvl="4" w:tentative="0">
      <w:start w:val="1"/>
      <w:numFmt w:val="lowerLetter"/>
      <w:lvlText w:val="%5)"/>
      <w:lvlJc w:val="left"/>
      <w:pPr>
        <w:tabs>
          <w:tab w:val="left" w:pos="2459"/>
        </w:tabs>
        <w:ind w:left="2459" w:hanging="420"/>
      </w:pPr>
    </w:lvl>
    <w:lvl w:ilvl="5" w:tentative="0">
      <w:start w:val="1"/>
      <w:numFmt w:val="lowerRoman"/>
      <w:lvlText w:val="%6."/>
      <w:lvlJc w:val="right"/>
      <w:pPr>
        <w:tabs>
          <w:tab w:val="left" w:pos="2879"/>
        </w:tabs>
        <w:ind w:left="2879" w:hanging="420"/>
      </w:pPr>
    </w:lvl>
    <w:lvl w:ilvl="6" w:tentative="0">
      <w:start w:val="1"/>
      <w:numFmt w:val="decimal"/>
      <w:lvlText w:val="%7."/>
      <w:lvlJc w:val="left"/>
      <w:pPr>
        <w:tabs>
          <w:tab w:val="left" w:pos="3299"/>
        </w:tabs>
        <w:ind w:left="3299" w:hanging="420"/>
      </w:pPr>
    </w:lvl>
    <w:lvl w:ilvl="7" w:tentative="0">
      <w:start w:val="1"/>
      <w:numFmt w:val="lowerLetter"/>
      <w:lvlText w:val="%8)"/>
      <w:lvlJc w:val="left"/>
      <w:pPr>
        <w:tabs>
          <w:tab w:val="left" w:pos="3719"/>
        </w:tabs>
        <w:ind w:left="3719" w:hanging="420"/>
      </w:pPr>
    </w:lvl>
    <w:lvl w:ilvl="8" w:tentative="0">
      <w:start w:val="1"/>
      <w:numFmt w:val="lowerRoman"/>
      <w:lvlText w:val="%9."/>
      <w:lvlJc w:val="right"/>
      <w:pPr>
        <w:tabs>
          <w:tab w:val="left" w:pos="4139"/>
        </w:tabs>
        <w:ind w:left="4139" w:hanging="420"/>
      </w:pPr>
    </w:lvl>
  </w:abstractNum>
  <w:abstractNum w:abstractNumId="23">
    <w:nsid w:val="624369EF"/>
    <w:multiLevelType w:val="multilevel"/>
    <w:tmpl w:val="624369EF"/>
    <w:lvl w:ilvl="0" w:tentative="0">
      <w:start w:val="1"/>
      <w:numFmt w:val="lowerLetter"/>
      <w:lvlText w:val="%1)"/>
      <w:lvlJc w:val="left"/>
      <w:pPr>
        <w:ind w:left="1620" w:hanging="420"/>
      </w:pPr>
    </w:lvl>
    <w:lvl w:ilvl="1" w:tentative="0">
      <w:start w:val="1"/>
      <w:numFmt w:val="decimal"/>
      <w:lvlText w:val="%2)"/>
      <w:lvlJc w:val="left"/>
      <w:pPr>
        <w:ind w:left="1980" w:hanging="360"/>
      </w:pPr>
      <w:rPr>
        <w:rFonts w:hint="default"/>
      </w:rPr>
    </w:lvl>
    <w:lvl w:ilvl="2" w:tentative="0">
      <w:start w:val="1"/>
      <w:numFmt w:val="lowerRoman"/>
      <w:lvlText w:val="%3."/>
      <w:lvlJc w:val="right"/>
      <w:pPr>
        <w:ind w:left="2460" w:hanging="420"/>
      </w:pPr>
    </w:lvl>
    <w:lvl w:ilvl="3" w:tentative="0">
      <w:start w:val="1"/>
      <w:numFmt w:val="decimal"/>
      <w:lvlText w:val="%4."/>
      <w:lvlJc w:val="left"/>
      <w:pPr>
        <w:ind w:left="2880" w:hanging="420"/>
      </w:pPr>
    </w:lvl>
    <w:lvl w:ilvl="4" w:tentative="0">
      <w:start w:val="1"/>
      <w:numFmt w:val="lowerLetter"/>
      <w:lvlText w:val="%5)"/>
      <w:lvlJc w:val="left"/>
      <w:pPr>
        <w:ind w:left="3300" w:hanging="420"/>
      </w:pPr>
    </w:lvl>
    <w:lvl w:ilvl="5" w:tentative="0">
      <w:start w:val="1"/>
      <w:numFmt w:val="lowerRoman"/>
      <w:lvlText w:val="%6."/>
      <w:lvlJc w:val="right"/>
      <w:pPr>
        <w:ind w:left="3720" w:hanging="420"/>
      </w:pPr>
    </w:lvl>
    <w:lvl w:ilvl="6" w:tentative="0">
      <w:start w:val="1"/>
      <w:numFmt w:val="decimal"/>
      <w:lvlText w:val="%7."/>
      <w:lvlJc w:val="left"/>
      <w:pPr>
        <w:ind w:left="4140" w:hanging="420"/>
      </w:pPr>
    </w:lvl>
    <w:lvl w:ilvl="7" w:tentative="0">
      <w:start w:val="1"/>
      <w:numFmt w:val="lowerLetter"/>
      <w:lvlText w:val="%8)"/>
      <w:lvlJc w:val="left"/>
      <w:pPr>
        <w:ind w:left="4560" w:hanging="420"/>
      </w:pPr>
    </w:lvl>
    <w:lvl w:ilvl="8" w:tentative="0">
      <w:start w:val="1"/>
      <w:numFmt w:val="lowerRoman"/>
      <w:lvlText w:val="%9."/>
      <w:lvlJc w:val="right"/>
      <w:pPr>
        <w:ind w:left="4980" w:hanging="420"/>
      </w:pPr>
    </w:lvl>
  </w:abstractNum>
  <w:abstractNum w:abstractNumId="24">
    <w:nsid w:val="6A675048"/>
    <w:multiLevelType w:val="multilevel"/>
    <w:tmpl w:val="6A675048"/>
    <w:lvl w:ilvl="0" w:tentative="0">
      <w:start w:val="1"/>
      <w:numFmt w:val="lowerLetter"/>
      <w:lvlText w:val="%1)"/>
      <w:lvlJc w:val="left"/>
      <w:pPr>
        <w:ind w:left="1620" w:hanging="420"/>
      </w:pPr>
    </w:lvl>
    <w:lvl w:ilvl="1" w:tentative="0">
      <w:start w:val="1"/>
      <w:numFmt w:val="decimal"/>
      <w:lvlText w:val="%2)"/>
      <w:lvlJc w:val="left"/>
      <w:pPr>
        <w:ind w:left="1980" w:hanging="360"/>
      </w:pPr>
      <w:rPr>
        <w:rFonts w:hint="default"/>
      </w:rPr>
    </w:lvl>
    <w:lvl w:ilvl="2" w:tentative="0">
      <w:start w:val="1"/>
      <w:numFmt w:val="lowerRoman"/>
      <w:lvlText w:val="%3."/>
      <w:lvlJc w:val="right"/>
      <w:pPr>
        <w:ind w:left="2460" w:hanging="420"/>
      </w:pPr>
    </w:lvl>
    <w:lvl w:ilvl="3" w:tentative="0">
      <w:start w:val="1"/>
      <w:numFmt w:val="decimal"/>
      <w:lvlText w:val="%4."/>
      <w:lvlJc w:val="left"/>
      <w:pPr>
        <w:ind w:left="2880" w:hanging="420"/>
      </w:pPr>
    </w:lvl>
    <w:lvl w:ilvl="4" w:tentative="0">
      <w:start w:val="1"/>
      <w:numFmt w:val="lowerLetter"/>
      <w:lvlText w:val="%5)"/>
      <w:lvlJc w:val="left"/>
      <w:pPr>
        <w:ind w:left="3300" w:hanging="420"/>
      </w:pPr>
    </w:lvl>
    <w:lvl w:ilvl="5" w:tentative="0">
      <w:start w:val="1"/>
      <w:numFmt w:val="lowerRoman"/>
      <w:lvlText w:val="%6."/>
      <w:lvlJc w:val="right"/>
      <w:pPr>
        <w:ind w:left="3720" w:hanging="420"/>
      </w:pPr>
    </w:lvl>
    <w:lvl w:ilvl="6" w:tentative="0">
      <w:start w:val="1"/>
      <w:numFmt w:val="decimal"/>
      <w:lvlText w:val="%7."/>
      <w:lvlJc w:val="left"/>
      <w:pPr>
        <w:ind w:left="4140" w:hanging="420"/>
      </w:pPr>
    </w:lvl>
    <w:lvl w:ilvl="7" w:tentative="0">
      <w:start w:val="1"/>
      <w:numFmt w:val="lowerLetter"/>
      <w:lvlText w:val="%8)"/>
      <w:lvlJc w:val="left"/>
      <w:pPr>
        <w:ind w:left="4560" w:hanging="420"/>
      </w:pPr>
    </w:lvl>
    <w:lvl w:ilvl="8" w:tentative="0">
      <w:start w:val="1"/>
      <w:numFmt w:val="lowerRoman"/>
      <w:lvlText w:val="%9."/>
      <w:lvlJc w:val="right"/>
      <w:pPr>
        <w:ind w:left="4980" w:hanging="420"/>
      </w:pPr>
    </w:lvl>
  </w:abstractNum>
  <w:abstractNum w:abstractNumId="25">
    <w:nsid w:val="6BB9626A"/>
    <w:multiLevelType w:val="multilevel"/>
    <w:tmpl w:val="6BB9626A"/>
    <w:lvl w:ilvl="0" w:tentative="0">
      <w:start w:val="1"/>
      <w:numFmt w:val="lowerLetter"/>
      <w:lvlText w:val="%1)"/>
      <w:lvlJc w:val="left"/>
      <w:pPr>
        <w:tabs>
          <w:tab w:val="left" w:pos="1050"/>
        </w:tabs>
        <w:ind w:left="1050" w:hanging="690"/>
      </w:pPr>
      <w:rPr>
        <w:rFonts w:hint="eastAsia"/>
      </w:rPr>
    </w:lvl>
    <w:lvl w:ilvl="1" w:tentative="0">
      <w:start w:val="1"/>
      <w:numFmt w:val="decimal"/>
      <w:lvlText w:val="%2）"/>
      <w:lvlJc w:val="left"/>
      <w:pPr>
        <w:tabs>
          <w:tab w:val="left" w:pos="1140"/>
        </w:tabs>
        <w:ind w:left="1140" w:hanging="360"/>
      </w:pPr>
      <w:rPr>
        <w:rFonts w:hint="eastAsia"/>
      </w:r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26">
    <w:nsid w:val="7253558C"/>
    <w:multiLevelType w:val="multilevel"/>
    <w:tmpl w:val="7253558C"/>
    <w:lvl w:ilvl="0" w:tentative="0">
      <w:start w:val="1"/>
      <w:numFmt w:val="lowerLetter"/>
      <w:lvlText w:val="%1)"/>
      <w:lvlJc w:val="left"/>
      <w:pPr>
        <w:ind w:left="1620" w:hanging="420"/>
      </w:pPr>
    </w:lvl>
    <w:lvl w:ilvl="1" w:tentative="0">
      <w:start w:val="1"/>
      <w:numFmt w:val="decimal"/>
      <w:lvlText w:val="%2)"/>
      <w:lvlJc w:val="left"/>
      <w:pPr>
        <w:ind w:left="1980" w:hanging="360"/>
      </w:pPr>
      <w:rPr>
        <w:rFonts w:hint="default"/>
      </w:rPr>
    </w:lvl>
    <w:lvl w:ilvl="2" w:tentative="0">
      <w:start w:val="1"/>
      <w:numFmt w:val="lowerRoman"/>
      <w:lvlText w:val="%3."/>
      <w:lvlJc w:val="right"/>
      <w:pPr>
        <w:ind w:left="2460" w:hanging="420"/>
      </w:pPr>
    </w:lvl>
    <w:lvl w:ilvl="3" w:tentative="0">
      <w:start w:val="1"/>
      <w:numFmt w:val="decimal"/>
      <w:lvlText w:val="%4."/>
      <w:lvlJc w:val="left"/>
      <w:pPr>
        <w:ind w:left="2880" w:hanging="420"/>
      </w:pPr>
    </w:lvl>
    <w:lvl w:ilvl="4" w:tentative="0">
      <w:start w:val="1"/>
      <w:numFmt w:val="lowerLetter"/>
      <w:lvlText w:val="%5)"/>
      <w:lvlJc w:val="left"/>
      <w:pPr>
        <w:ind w:left="3300" w:hanging="420"/>
      </w:pPr>
    </w:lvl>
    <w:lvl w:ilvl="5" w:tentative="0">
      <w:start w:val="1"/>
      <w:numFmt w:val="lowerRoman"/>
      <w:lvlText w:val="%6."/>
      <w:lvlJc w:val="right"/>
      <w:pPr>
        <w:ind w:left="3720" w:hanging="420"/>
      </w:pPr>
    </w:lvl>
    <w:lvl w:ilvl="6" w:tentative="0">
      <w:start w:val="1"/>
      <w:numFmt w:val="decimal"/>
      <w:lvlText w:val="%7."/>
      <w:lvlJc w:val="left"/>
      <w:pPr>
        <w:ind w:left="4140" w:hanging="420"/>
      </w:pPr>
    </w:lvl>
    <w:lvl w:ilvl="7" w:tentative="0">
      <w:start w:val="1"/>
      <w:numFmt w:val="lowerLetter"/>
      <w:lvlText w:val="%8)"/>
      <w:lvlJc w:val="left"/>
      <w:pPr>
        <w:ind w:left="4560" w:hanging="420"/>
      </w:pPr>
    </w:lvl>
    <w:lvl w:ilvl="8" w:tentative="0">
      <w:start w:val="1"/>
      <w:numFmt w:val="lowerRoman"/>
      <w:lvlText w:val="%9."/>
      <w:lvlJc w:val="right"/>
      <w:pPr>
        <w:ind w:left="4980" w:hanging="420"/>
      </w:pPr>
    </w:lvl>
  </w:abstractNum>
  <w:abstractNum w:abstractNumId="27">
    <w:nsid w:val="72C55BA4"/>
    <w:multiLevelType w:val="multilevel"/>
    <w:tmpl w:val="72C55BA4"/>
    <w:lvl w:ilvl="0" w:tentative="0">
      <w:start w:val="1"/>
      <w:numFmt w:val="lowerLetter"/>
      <w:lvlText w:val="%1)"/>
      <w:lvlJc w:val="left"/>
      <w:pPr>
        <w:tabs>
          <w:tab w:val="left" w:pos="1082"/>
        </w:tabs>
        <w:ind w:left="1082" w:hanging="360"/>
      </w:pPr>
      <w:rPr>
        <w:rFonts w:hint="eastAsia"/>
      </w:rPr>
    </w:lvl>
    <w:lvl w:ilvl="1" w:tentative="0">
      <w:start w:val="1"/>
      <w:numFmt w:val="lowerLetter"/>
      <w:lvlText w:val="%2)"/>
      <w:lvlJc w:val="left"/>
      <w:pPr>
        <w:tabs>
          <w:tab w:val="left" w:pos="1562"/>
        </w:tabs>
        <w:ind w:left="1562" w:hanging="420"/>
      </w:pPr>
    </w:lvl>
    <w:lvl w:ilvl="2" w:tentative="0">
      <w:start w:val="1"/>
      <w:numFmt w:val="lowerRoman"/>
      <w:lvlText w:val="%3."/>
      <w:lvlJc w:val="right"/>
      <w:pPr>
        <w:tabs>
          <w:tab w:val="left" w:pos="1982"/>
        </w:tabs>
        <w:ind w:left="1982" w:hanging="420"/>
      </w:pPr>
    </w:lvl>
    <w:lvl w:ilvl="3" w:tentative="0">
      <w:start w:val="1"/>
      <w:numFmt w:val="decimal"/>
      <w:lvlText w:val="%4."/>
      <w:lvlJc w:val="left"/>
      <w:pPr>
        <w:tabs>
          <w:tab w:val="left" w:pos="2402"/>
        </w:tabs>
        <w:ind w:left="2402" w:hanging="420"/>
      </w:pPr>
    </w:lvl>
    <w:lvl w:ilvl="4" w:tentative="0">
      <w:start w:val="1"/>
      <w:numFmt w:val="lowerLetter"/>
      <w:lvlText w:val="%5)"/>
      <w:lvlJc w:val="left"/>
      <w:pPr>
        <w:tabs>
          <w:tab w:val="left" w:pos="2822"/>
        </w:tabs>
        <w:ind w:left="2822" w:hanging="420"/>
      </w:pPr>
    </w:lvl>
    <w:lvl w:ilvl="5" w:tentative="0">
      <w:start w:val="1"/>
      <w:numFmt w:val="lowerRoman"/>
      <w:lvlText w:val="%6."/>
      <w:lvlJc w:val="right"/>
      <w:pPr>
        <w:tabs>
          <w:tab w:val="left" w:pos="3242"/>
        </w:tabs>
        <w:ind w:left="3242" w:hanging="420"/>
      </w:pPr>
    </w:lvl>
    <w:lvl w:ilvl="6" w:tentative="0">
      <w:start w:val="1"/>
      <w:numFmt w:val="decimal"/>
      <w:lvlText w:val="%7."/>
      <w:lvlJc w:val="left"/>
      <w:pPr>
        <w:tabs>
          <w:tab w:val="left" w:pos="3662"/>
        </w:tabs>
        <w:ind w:left="3662" w:hanging="420"/>
      </w:pPr>
    </w:lvl>
    <w:lvl w:ilvl="7" w:tentative="0">
      <w:start w:val="1"/>
      <w:numFmt w:val="lowerLetter"/>
      <w:lvlText w:val="%8)"/>
      <w:lvlJc w:val="left"/>
      <w:pPr>
        <w:tabs>
          <w:tab w:val="left" w:pos="4082"/>
        </w:tabs>
        <w:ind w:left="4082" w:hanging="420"/>
      </w:pPr>
    </w:lvl>
    <w:lvl w:ilvl="8" w:tentative="0">
      <w:start w:val="1"/>
      <w:numFmt w:val="lowerRoman"/>
      <w:lvlText w:val="%9."/>
      <w:lvlJc w:val="right"/>
      <w:pPr>
        <w:tabs>
          <w:tab w:val="left" w:pos="4502"/>
        </w:tabs>
        <w:ind w:left="4502" w:hanging="420"/>
      </w:pPr>
    </w:lvl>
  </w:abstractNum>
  <w:abstractNum w:abstractNumId="28">
    <w:nsid w:val="7D366003"/>
    <w:multiLevelType w:val="multilevel"/>
    <w:tmpl w:val="7D366003"/>
    <w:lvl w:ilvl="0" w:tentative="0">
      <w:start w:val="1"/>
      <w:numFmt w:val="lowerLetter"/>
      <w:lvlText w:val="%1)"/>
      <w:lvlJc w:val="left"/>
      <w:pPr>
        <w:ind w:left="660" w:hanging="420"/>
      </w:pPr>
    </w:lvl>
    <w:lvl w:ilvl="1" w:tentative="0">
      <w:start w:val="1"/>
      <w:numFmt w:val="lowerLetter"/>
      <w:lvlText w:val="%2)"/>
      <w:lvlJc w:val="left"/>
      <w:pPr>
        <w:ind w:left="1080" w:hanging="420"/>
      </w:pPr>
    </w:lvl>
    <w:lvl w:ilvl="2" w:tentative="0">
      <w:start w:val="1"/>
      <w:numFmt w:val="lowerRoman"/>
      <w:lvlText w:val="%3."/>
      <w:lvlJc w:val="right"/>
      <w:pPr>
        <w:ind w:left="1500" w:hanging="420"/>
      </w:pPr>
    </w:lvl>
    <w:lvl w:ilvl="3" w:tentative="0">
      <w:start w:val="1"/>
      <w:numFmt w:val="decimal"/>
      <w:lvlText w:val="%4."/>
      <w:lvlJc w:val="left"/>
      <w:pPr>
        <w:ind w:left="1920" w:hanging="420"/>
      </w:pPr>
    </w:lvl>
    <w:lvl w:ilvl="4" w:tentative="0">
      <w:start w:val="1"/>
      <w:numFmt w:val="lowerLetter"/>
      <w:lvlText w:val="%5)"/>
      <w:lvlJc w:val="left"/>
      <w:pPr>
        <w:ind w:left="2340" w:hanging="420"/>
      </w:pPr>
    </w:lvl>
    <w:lvl w:ilvl="5" w:tentative="0">
      <w:start w:val="1"/>
      <w:numFmt w:val="lowerRoman"/>
      <w:lvlText w:val="%6."/>
      <w:lvlJc w:val="right"/>
      <w:pPr>
        <w:ind w:left="2760" w:hanging="420"/>
      </w:pPr>
    </w:lvl>
    <w:lvl w:ilvl="6" w:tentative="0">
      <w:start w:val="1"/>
      <w:numFmt w:val="decimal"/>
      <w:lvlText w:val="%7."/>
      <w:lvlJc w:val="left"/>
      <w:pPr>
        <w:ind w:left="3180" w:hanging="420"/>
      </w:pPr>
    </w:lvl>
    <w:lvl w:ilvl="7" w:tentative="0">
      <w:start w:val="1"/>
      <w:numFmt w:val="lowerLetter"/>
      <w:lvlText w:val="%8)"/>
      <w:lvlJc w:val="left"/>
      <w:pPr>
        <w:ind w:left="3600" w:hanging="420"/>
      </w:pPr>
    </w:lvl>
    <w:lvl w:ilvl="8" w:tentative="0">
      <w:start w:val="1"/>
      <w:numFmt w:val="lowerRoman"/>
      <w:lvlText w:val="%9."/>
      <w:lvlJc w:val="right"/>
      <w:pPr>
        <w:ind w:left="4020" w:hanging="420"/>
      </w:pPr>
    </w:lvl>
  </w:abstractNum>
  <w:num w:numId="1">
    <w:abstractNumId w:val="10"/>
  </w:num>
  <w:num w:numId="2">
    <w:abstractNumId w:val="17"/>
  </w:num>
  <w:num w:numId="3">
    <w:abstractNumId w:val="15"/>
  </w:num>
  <w:num w:numId="4">
    <w:abstractNumId w:val="8"/>
  </w:num>
  <w:num w:numId="5">
    <w:abstractNumId w:val="9"/>
  </w:num>
  <w:num w:numId="6">
    <w:abstractNumId w:val="19"/>
  </w:num>
  <w:num w:numId="7">
    <w:abstractNumId w:val="22"/>
  </w:num>
  <w:num w:numId="8">
    <w:abstractNumId w:val="1"/>
  </w:num>
  <w:num w:numId="9">
    <w:abstractNumId w:val="25"/>
  </w:num>
  <w:num w:numId="10">
    <w:abstractNumId w:val="21"/>
  </w:num>
  <w:num w:numId="11">
    <w:abstractNumId w:val="11"/>
  </w:num>
  <w:num w:numId="12">
    <w:abstractNumId w:val="24"/>
  </w:num>
  <w:num w:numId="13">
    <w:abstractNumId w:val="13"/>
  </w:num>
  <w:num w:numId="14">
    <w:abstractNumId w:val="23"/>
  </w:num>
  <w:num w:numId="15">
    <w:abstractNumId w:val="7"/>
  </w:num>
  <w:num w:numId="16">
    <w:abstractNumId w:val="12"/>
  </w:num>
  <w:num w:numId="17">
    <w:abstractNumId w:val="5"/>
  </w:num>
  <w:num w:numId="18">
    <w:abstractNumId w:val="4"/>
  </w:num>
  <w:num w:numId="19">
    <w:abstractNumId w:val="0"/>
  </w:num>
  <w:num w:numId="20">
    <w:abstractNumId w:val="6"/>
  </w:num>
  <w:num w:numId="21">
    <w:abstractNumId w:val="3"/>
  </w:num>
  <w:num w:numId="22">
    <w:abstractNumId w:val="26"/>
  </w:num>
  <w:num w:numId="23">
    <w:abstractNumId w:val="2"/>
  </w:num>
  <w:num w:numId="24">
    <w:abstractNumId w:val="16"/>
  </w:num>
  <w:num w:numId="25">
    <w:abstractNumId w:val="14"/>
  </w:num>
  <w:num w:numId="26">
    <w:abstractNumId w:val="27"/>
  </w:num>
  <w:num w:numId="27">
    <w:abstractNumId w:val="28"/>
  </w:num>
  <w:num w:numId="28">
    <w:abstractNumId w:val="18"/>
  </w:num>
  <w:num w:numId="29">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attachedTemplate r:id="rId1"/>
  <w:documentProtection w:enforcement="0"/>
  <w:defaultTabStop w:val="420"/>
  <w:drawingGridHorizontalSpacing w:val="105"/>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481E4C"/>
    <w:rsid w:val="00000D43"/>
    <w:rsid w:val="0000246B"/>
    <w:rsid w:val="00004210"/>
    <w:rsid w:val="0000519F"/>
    <w:rsid w:val="00010247"/>
    <w:rsid w:val="00011C2C"/>
    <w:rsid w:val="00012615"/>
    <w:rsid w:val="00012AE8"/>
    <w:rsid w:val="0001483A"/>
    <w:rsid w:val="000153BB"/>
    <w:rsid w:val="00016891"/>
    <w:rsid w:val="00020E24"/>
    <w:rsid w:val="00021D5F"/>
    <w:rsid w:val="000419B7"/>
    <w:rsid w:val="00042601"/>
    <w:rsid w:val="00044BD3"/>
    <w:rsid w:val="00050291"/>
    <w:rsid w:val="000536E5"/>
    <w:rsid w:val="0006018F"/>
    <w:rsid w:val="00063E74"/>
    <w:rsid w:val="00064F31"/>
    <w:rsid w:val="00067549"/>
    <w:rsid w:val="00071FFA"/>
    <w:rsid w:val="00091D8F"/>
    <w:rsid w:val="00094F15"/>
    <w:rsid w:val="00095020"/>
    <w:rsid w:val="000A4358"/>
    <w:rsid w:val="000A49BD"/>
    <w:rsid w:val="000B1114"/>
    <w:rsid w:val="000B7D46"/>
    <w:rsid w:val="000C2334"/>
    <w:rsid w:val="000C637F"/>
    <w:rsid w:val="000D140A"/>
    <w:rsid w:val="000D4927"/>
    <w:rsid w:val="000D5A9C"/>
    <w:rsid w:val="000D76FE"/>
    <w:rsid w:val="000F081B"/>
    <w:rsid w:val="000F14D0"/>
    <w:rsid w:val="000F53A5"/>
    <w:rsid w:val="000F5855"/>
    <w:rsid w:val="000F5995"/>
    <w:rsid w:val="00107B89"/>
    <w:rsid w:val="001150B0"/>
    <w:rsid w:val="00116797"/>
    <w:rsid w:val="00116CB0"/>
    <w:rsid w:val="00124293"/>
    <w:rsid w:val="001275F6"/>
    <w:rsid w:val="0013112B"/>
    <w:rsid w:val="001337A5"/>
    <w:rsid w:val="0013733D"/>
    <w:rsid w:val="001457C4"/>
    <w:rsid w:val="00146B0F"/>
    <w:rsid w:val="001507B4"/>
    <w:rsid w:val="00162BB9"/>
    <w:rsid w:val="0016329E"/>
    <w:rsid w:val="001646D5"/>
    <w:rsid w:val="0017113D"/>
    <w:rsid w:val="00174B18"/>
    <w:rsid w:val="00174CC6"/>
    <w:rsid w:val="001758A0"/>
    <w:rsid w:val="00176E56"/>
    <w:rsid w:val="001828D9"/>
    <w:rsid w:val="001838F4"/>
    <w:rsid w:val="001843EC"/>
    <w:rsid w:val="001848B5"/>
    <w:rsid w:val="00185E5C"/>
    <w:rsid w:val="00186E8B"/>
    <w:rsid w:val="00190AC4"/>
    <w:rsid w:val="00195C4C"/>
    <w:rsid w:val="001A2517"/>
    <w:rsid w:val="001A3C54"/>
    <w:rsid w:val="001B5496"/>
    <w:rsid w:val="001B73E6"/>
    <w:rsid w:val="001C21EF"/>
    <w:rsid w:val="001C39D6"/>
    <w:rsid w:val="001C3FC4"/>
    <w:rsid w:val="001D1888"/>
    <w:rsid w:val="001D52A2"/>
    <w:rsid w:val="001E3801"/>
    <w:rsid w:val="001E71F8"/>
    <w:rsid w:val="001F24A2"/>
    <w:rsid w:val="001F4C22"/>
    <w:rsid w:val="001F6970"/>
    <w:rsid w:val="001F7E40"/>
    <w:rsid w:val="00201611"/>
    <w:rsid w:val="0020392A"/>
    <w:rsid w:val="00210666"/>
    <w:rsid w:val="00211C38"/>
    <w:rsid w:val="002205DF"/>
    <w:rsid w:val="0022090A"/>
    <w:rsid w:val="0022342D"/>
    <w:rsid w:val="0022637B"/>
    <w:rsid w:val="00231B40"/>
    <w:rsid w:val="002400D0"/>
    <w:rsid w:val="00246694"/>
    <w:rsid w:val="0025033F"/>
    <w:rsid w:val="002505B9"/>
    <w:rsid w:val="002567F9"/>
    <w:rsid w:val="00261C2F"/>
    <w:rsid w:val="00263C8A"/>
    <w:rsid w:val="00265C4A"/>
    <w:rsid w:val="00275CB0"/>
    <w:rsid w:val="00277544"/>
    <w:rsid w:val="002779C8"/>
    <w:rsid w:val="002876A4"/>
    <w:rsid w:val="00294DA0"/>
    <w:rsid w:val="0029639C"/>
    <w:rsid w:val="002B0CF8"/>
    <w:rsid w:val="002B508C"/>
    <w:rsid w:val="002C1F20"/>
    <w:rsid w:val="002D1AE9"/>
    <w:rsid w:val="002E2205"/>
    <w:rsid w:val="002F472B"/>
    <w:rsid w:val="00301B8B"/>
    <w:rsid w:val="003028E7"/>
    <w:rsid w:val="00305024"/>
    <w:rsid w:val="00307F07"/>
    <w:rsid w:val="00310406"/>
    <w:rsid w:val="0031432C"/>
    <w:rsid w:val="00315F19"/>
    <w:rsid w:val="00323824"/>
    <w:rsid w:val="00324FEE"/>
    <w:rsid w:val="003322D3"/>
    <w:rsid w:val="0033295D"/>
    <w:rsid w:val="00335DCE"/>
    <w:rsid w:val="00336253"/>
    <w:rsid w:val="00337F41"/>
    <w:rsid w:val="00340643"/>
    <w:rsid w:val="00343A8F"/>
    <w:rsid w:val="00343BCE"/>
    <w:rsid w:val="003448D4"/>
    <w:rsid w:val="00345310"/>
    <w:rsid w:val="003473AE"/>
    <w:rsid w:val="00354624"/>
    <w:rsid w:val="003564CA"/>
    <w:rsid w:val="00362297"/>
    <w:rsid w:val="003627A8"/>
    <w:rsid w:val="00375870"/>
    <w:rsid w:val="003772FA"/>
    <w:rsid w:val="00385D2B"/>
    <w:rsid w:val="0039094B"/>
    <w:rsid w:val="00392A6D"/>
    <w:rsid w:val="00394095"/>
    <w:rsid w:val="00394742"/>
    <w:rsid w:val="003949D7"/>
    <w:rsid w:val="003A3354"/>
    <w:rsid w:val="003A63E6"/>
    <w:rsid w:val="003B5C96"/>
    <w:rsid w:val="003C36CB"/>
    <w:rsid w:val="003C662A"/>
    <w:rsid w:val="003C77F6"/>
    <w:rsid w:val="003D4E67"/>
    <w:rsid w:val="003E1041"/>
    <w:rsid w:val="003E2C22"/>
    <w:rsid w:val="003E4922"/>
    <w:rsid w:val="003E5C19"/>
    <w:rsid w:val="003E7BDF"/>
    <w:rsid w:val="003F5C45"/>
    <w:rsid w:val="003F6E84"/>
    <w:rsid w:val="003F70EF"/>
    <w:rsid w:val="003F74A7"/>
    <w:rsid w:val="003F74DC"/>
    <w:rsid w:val="0040259A"/>
    <w:rsid w:val="0040303A"/>
    <w:rsid w:val="00403E84"/>
    <w:rsid w:val="00404A64"/>
    <w:rsid w:val="0041304A"/>
    <w:rsid w:val="00416B74"/>
    <w:rsid w:val="00420F36"/>
    <w:rsid w:val="00421CA5"/>
    <w:rsid w:val="004261AB"/>
    <w:rsid w:val="00431554"/>
    <w:rsid w:val="00431A02"/>
    <w:rsid w:val="0043648E"/>
    <w:rsid w:val="00444A7B"/>
    <w:rsid w:val="0044502B"/>
    <w:rsid w:val="00445123"/>
    <w:rsid w:val="00445BF0"/>
    <w:rsid w:val="00446C13"/>
    <w:rsid w:val="004470A3"/>
    <w:rsid w:val="00455E9D"/>
    <w:rsid w:val="00456467"/>
    <w:rsid w:val="0045663B"/>
    <w:rsid w:val="00460071"/>
    <w:rsid w:val="00460AB9"/>
    <w:rsid w:val="00461920"/>
    <w:rsid w:val="00463155"/>
    <w:rsid w:val="0046460F"/>
    <w:rsid w:val="004725F7"/>
    <w:rsid w:val="00481E4C"/>
    <w:rsid w:val="00485D48"/>
    <w:rsid w:val="0049076F"/>
    <w:rsid w:val="0049145B"/>
    <w:rsid w:val="004933A9"/>
    <w:rsid w:val="00494713"/>
    <w:rsid w:val="0049565B"/>
    <w:rsid w:val="004A5165"/>
    <w:rsid w:val="004A5C40"/>
    <w:rsid w:val="004A678A"/>
    <w:rsid w:val="004B685E"/>
    <w:rsid w:val="004C1BBB"/>
    <w:rsid w:val="004C34BC"/>
    <w:rsid w:val="004C6E83"/>
    <w:rsid w:val="004D34A1"/>
    <w:rsid w:val="004D4437"/>
    <w:rsid w:val="004E6BE3"/>
    <w:rsid w:val="004F4748"/>
    <w:rsid w:val="00501362"/>
    <w:rsid w:val="00510743"/>
    <w:rsid w:val="005152A6"/>
    <w:rsid w:val="00516730"/>
    <w:rsid w:val="00521C5E"/>
    <w:rsid w:val="00524C7E"/>
    <w:rsid w:val="00527F4A"/>
    <w:rsid w:val="005301DC"/>
    <w:rsid w:val="00531F74"/>
    <w:rsid w:val="00533F5B"/>
    <w:rsid w:val="00534882"/>
    <w:rsid w:val="0054599D"/>
    <w:rsid w:val="005560AB"/>
    <w:rsid w:val="00560B6C"/>
    <w:rsid w:val="0056167D"/>
    <w:rsid w:val="00564BE6"/>
    <w:rsid w:val="005703FA"/>
    <w:rsid w:val="00572AA9"/>
    <w:rsid w:val="00573061"/>
    <w:rsid w:val="005753A1"/>
    <w:rsid w:val="00575E01"/>
    <w:rsid w:val="005825CD"/>
    <w:rsid w:val="00582F57"/>
    <w:rsid w:val="005A1B35"/>
    <w:rsid w:val="005A315D"/>
    <w:rsid w:val="005A55B1"/>
    <w:rsid w:val="005B3AEE"/>
    <w:rsid w:val="005C0D2C"/>
    <w:rsid w:val="005C1701"/>
    <w:rsid w:val="005C1A54"/>
    <w:rsid w:val="005C1C9D"/>
    <w:rsid w:val="005C29C1"/>
    <w:rsid w:val="005C5FD0"/>
    <w:rsid w:val="005C6041"/>
    <w:rsid w:val="005D5DA2"/>
    <w:rsid w:val="005E094A"/>
    <w:rsid w:val="005E55C4"/>
    <w:rsid w:val="005E7388"/>
    <w:rsid w:val="005E75F3"/>
    <w:rsid w:val="005F0B39"/>
    <w:rsid w:val="005F2D3F"/>
    <w:rsid w:val="005F2D5C"/>
    <w:rsid w:val="005F3FD4"/>
    <w:rsid w:val="005F4A66"/>
    <w:rsid w:val="006012F7"/>
    <w:rsid w:val="006025F2"/>
    <w:rsid w:val="00610324"/>
    <w:rsid w:val="00612F84"/>
    <w:rsid w:val="00613687"/>
    <w:rsid w:val="006141E7"/>
    <w:rsid w:val="00620E67"/>
    <w:rsid w:val="00621AF7"/>
    <w:rsid w:val="00623D9C"/>
    <w:rsid w:val="006256EB"/>
    <w:rsid w:val="006256FC"/>
    <w:rsid w:val="006271FA"/>
    <w:rsid w:val="006309CA"/>
    <w:rsid w:val="00630AD3"/>
    <w:rsid w:val="00632323"/>
    <w:rsid w:val="0064147B"/>
    <w:rsid w:val="00645152"/>
    <w:rsid w:val="00645B19"/>
    <w:rsid w:val="006467C3"/>
    <w:rsid w:val="0066695F"/>
    <w:rsid w:val="00677102"/>
    <w:rsid w:val="0068036A"/>
    <w:rsid w:val="00681A5B"/>
    <w:rsid w:val="00687E5C"/>
    <w:rsid w:val="00692778"/>
    <w:rsid w:val="00693CD4"/>
    <w:rsid w:val="006945AD"/>
    <w:rsid w:val="00697183"/>
    <w:rsid w:val="006974E2"/>
    <w:rsid w:val="006A2931"/>
    <w:rsid w:val="006A4C7F"/>
    <w:rsid w:val="006B11CD"/>
    <w:rsid w:val="006B1748"/>
    <w:rsid w:val="006B1AC5"/>
    <w:rsid w:val="006B30C8"/>
    <w:rsid w:val="006B5401"/>
    <w:rsid w:val="006C2176"/>
    <w:rsid w:val="006C2B22"/>
    <w:rsid w:val="006C3EA4"/>
    <w:rsid w:val="006C7688"/>
    <w:rsid w:val="006D6269"/>
    <w:rsid w:val="006D7B2A"/>
    <w:rsid w:val="006E51DA"/>
    <w:rsid w:val="006E6762"/>
    <w:rsid w:val="006F5FDE"/>
    <w:rsid w:val="00702703"/>
    <w:rsid w:val="00703001"/>
    <w:rsid w:val="00707A45"/>
    <w:rsid w:val="00710DCB"/>
    <w:rsid w:val="007111D2"/>
    <w:rsid w:val="0071486F"/>
    <w:rsid w:val="0072040F"/>
    <w:rsid w:val="007221C8"/>
    <w:rsid w:val="0072393A"/>
    <w:rsid w:val="00727CAA"/>
    <w:rsid w:val="00727F8A"/>
    <w:rsid w:val="00732620"/>
    <w:rsid w:val="007352C3"/>
    <w:rsid w:val="00736259"/>
    <w:rsid w:val="007467E5"/>
    <w:rsid w:val="00750AE6"/>
    <w:rsid w:val="0075155D"/>
    <w:rsid w:val="00765B22"/>
    <w:rsid w:val="00766756"/>
    <w:rsid w:val="007756B8"/>
    <w:rsid w:val="00781F91"/>
    <w:rsid w:val="00786A25"/>
    <w:rsid w:val="00791C94"/>
    <w:rsid w:val="00793DC9"/>
    <w:rsid w:val="0079487D"/>
    <w:rsid w:val="007A2F9B"/>
    <w:rsid w:val="007B0859"/>
    <w:rsid w:val="007B74AD"/>
    <w:rsid w:val="007C339F"/>
    <w:rsid w:val="007C66C3"/>
    <w:rsid w:val="007E1334"/>
    <w:rsid w:val="007E34E4"/>
    <w:rsid w:val="007E5AE5"/>
    <w:rsid w:val="007F3A08"/>
    <w:rsid w:val="007F5E73"/>
    <w:rsid w:val="008009FA"/>
    <w:rsid w:val="0080176E"/>
    <w:rsid w:val="00801B04"/>
    <w:rsid w:val="008024BE"/>
    <w:rsid w:val="008027B5"/>
    <w:rsid w:val="00805652"/>
    <w:rsid w:val="00807EC6"/>
    <w:rsid w:val="0081449E"/>
    <w:rsid w:val="00820596"/>
    <w:rsid w:val="00821898"/>
    <w:rsid w:val="00822D11"/>
    <w:rsid w:val="00823F67"/>
    <w:rsid w:val="00825A8D"/>
    <w:rsid w:val="00825D12"/>
    <w:rsid w:val="0083178A"/>
    <w:rsid w:val="008343A4"/>
    <w:rsid w:val="00837C0E"/>
    <w:rsid w:val="00847752"/>
    <w:rsid w:val="0085285C"/>
    <w:rsid w:val="0085386E"/>
    <w:rsid w:val="00861FA9"/>
    <w:rsid w:val="00864315"/>
    <w:rsid w:val="00865576"/>
    <w:rsid w:val="00890591"/>
    <w:rsid w:val="008909C0"/>
    <w:rsid w:val="00893BBA"/>
    <w:rsid w:val="00896356"/>
    <w:rsid w:val="008A32DB"/>
    <w:rsid w:val="008A5120"/>
    <w:rsid w:val="008A5710"/>
    <w:rsid w:val="008C27F4"/>
    <w:rsid w:val="008C3AC7"/>
    <w:rsid w:val="008C6F78"/>
    <w:rsid w:val="008D1121"/>
    <w:rsid w:val="008D1BD9"/>
    <w:rsid w:val="008D79F0"/>
    <w:rsid w:val="008E18B5"/>
    <w:rsid w:val="008E43E5"/>
    <w:rsid w:val="008F184A"/>
    <w:rsid w:val="008F5A44"/>
    <w:rsid w:val="008F5E14"/>
    <w:rsid w:val="00900533"/>
    <w:rsid w:val="009025A3"/>
    <w:rsid w:val="009059FB"/>
    <w:rsid w:val="00905C72"/>
    <w:rsid w:val="00907A79"/>
    <w:rsid w:val="00931015"/>
    <w:rsid w:val="009314F5"/>
    <w:rsid w:val="00931536"/>
    <w:rsid w:val="00931B62"/>
    <w:rsid w:val="0093450F"/>
    <w:rsid w:val="00934B2F"/>
    <w:rsid w:val="00936E3E"/>
    <w:rsid w:val="00942DA6"/>
    <w:rsid w:val="009460BD"/>
    <w:rsid w:val="00947868"/>
    <w:rsid w:val="009511A3"/>
    <w:rsid w:val="009557D2"/>
    <w:rsid w:val="00956C64"/>
    <w:rsid w:val="00957225"/>
    <w:rsid w:val="00960240"/>
    <w:rsid w:val="009608B2"/>
    <w:rsid w:val="009616BF"/>
    <w:rsid w:val="0097697B"/>
    <w:rsid w:val="00983881"/>
    <w:rsid w:val="00986B5B"/>
    <w:rsid w:val="00986FD2"/>
    <w:rsid w:val="00987EC4"/>
    <w:rsid w:val="0099040C"/>
    <w:rsid w:val="009916F6"/>
    <w:rsid w:val="00991E1C"/>
    <w:rsid w:val="00993BDF"/>
    <w:rsid w:val="009A26F8"/>
    <w:rsid w:val="009A3CD1"/>
    <w:rsid w:val="009A4C71"/>
    <w:rsid w:val="009A584F"/>
    <w:rsid w:val="009B0F97"/>
    <w:rsid w:val="009B1AA2"/>
    <w:rsid w:val="009B1C65"/>
    <w:rsid w:val="009B3169"/>
    <w:rsid w:val="009B619D"/>
    <w:rsid w:val="009C03E1"/>
    <w:rsid w:val="009C0E25"/>
    <w:rsid w:val="009C1367"/>
    <w:rsid w:val="009C54AC"/>
    <w:rsid w:val="009C6233"/>
    <w:rsid w:val="009C65B7"/>
    <w:rsid w:val="009C6812"/>
    <w:rsid w:val="009E3F81"/>
    <w:rsid w:val="009F409B"/>
    <w:rsid w:val="009F4CA1"/>
    <w:rsid w:val="00A03108"/>
    <w:rsid w:val="00A0762E"/>
    <w:rsid w:val="00A10EEA"/>
    <w:rsid w:val="00A15510"/>
    <w:rsid w:val="00A2037F"/>
    <w:rsid w:val="00A216F2"/>
    <w:rsid w:val="00A25973"/>
    <w:rsid w:val="00A37A55"/>
    <w:rsid w:val="00A4469D"/>
    <w:rsid w:val="00A50A12"/>
    <w:rsid w:val="00A50DF3"/>
    <w:rsid w:val="00A56989"/>
    <w:rsid w:val="00A57166"/>
    <w:rsid w:val="00A61FA1"/>
    <w:rsid w:val="00A62451"/>
    <w:rsid w:val="00A633F7"/>
    <w:rsid w:val="00A64B93"/>
    <w:rsid w:val="00A70627"/>
    <w:rsid w:val="00A71B6A"/>
    <w:rsid w:val="00A74D61"/>
    <w:rsid w:val="00A757EB"/>
    <w:rsid w:val="00A77389"/>
    <w:rsid w:val="00A81455"/>
    <w:rsid w:val="00A85052"/>
    <w:rsid w:val="00A85B28"/>
    <w:rsid w:val="00A86FA1"/>
    <w:rsid w:val="00A9148F"/>
    <w:rsid w:val="00A94966"/>
    <w:rsid w:val="00A978DE"/>
    <w:rsid w:val="00AA01E1"/>
    <w:rsid w:val="00AA039C"/>
    <w:rsid w:val="00AA34B4"/>
    <w:rsid w:val="00AA4485"/>
    <w:rsid w:val="00AA5535"/>
    <w:rsid w:val="00AA7422"/>
    <w:rsid w:val="00AB2AB4"/>
    <w:rsid w:val="00AB4650"/>
    <w:rsid w:val="00AC16E8"/>
    <w:rsid w:val="00AC4878"/>
    <w:rsid w:val="00AC7882"/>
    <w:rsid w:val="00AD0A34"/>
    <w:rsid w:val="00AD2770"/>
    <w:rsid w:val="00AD3BF8"/>
    <w:rsid w:val="00AD6E5E"/>
    <w:rsid w:val="00AF1653"/>
    <w:rsid w:val="00AF39CC"/>
    <w:rsid w:val="00AF79E4"/>
    <w:rsid w:val="00B03BC2"/>
    <w:rsid w:val="00B125F4"/>
    <w:rsid w:val="00B20720"/>
    <w:rsid w:val="00B305B7"/>
    <w:rsid w:val="00B333E2"/>
    <w:rsid w:val="00B342E6"/>
    <w:rsid w:val="00B37453"/>
    <w:rsid w:val="00B40EFD"/>
    <w:rsid w:val="00B41DDF"/>
    <w:rsid w:val="00B4679E"/>
    <w:rsid w:val="00B47316"/>
    <w:rsid w:val="00B54C11"/>
    <w:rsid w:val="00B55697"/>
    <w:rsid w:val="00B55F5D"/>
    <w:rsid w:val="00B56632"/>
    <w:rsid w:val="00B65C4E"/>
    <w:rsid w:val="00B66272"/>
    <w:rsid w:val="00B829FB"/>
    <w:rsid w:val="00B83233"/>
    <w:rsid w:val="00B85E78"/>
    <w:rsid w:val="00B86118"/>
    <w:rsid w:val="00B871CB"/>
    <w:rsid w:val="00B87537"/>
    <w:rsid w:val="00B904B7"/>
    <w:rsid w:val="00B90896"/>
    <w:rsid w:val="00B9663F"/>
    <w:rsid w:val="00BA44D6"/>
    <w:rsid w:val="00BB0030"/>
    <w:rsid w:val="00BB3D2E"/>
    <w:rsid w:val="00BB59EB"/>
    <w:rsid w:val="00BB7488"/>
    <w:rsid w:val="00BC2D02"/>
    <w:rsid w:val="00BC3138"/>
    <w:rsid w:val="00BC39DB"/>
    <w:rsid w:val="00BD158F"/>
    <w:rsid w:val="00BD33C5"/>
    <w:rsid w:val="00BD602C"/>
    <w:rsid w:val="00BD68EA"/>
    <w:rsid w:val="00BE3B15"/>
    <w:rsid w:val="00BE7765"/>
    <w:rsid w:val="00BE77CC"/>
    <w:rsid w:val="00BF092C"/>
    <w:rsid w:val="00C004FB"/>
    <w:rsid w:val="00C005A6"/>
    <w:rsid w:val="00C023AA"/>
    <w:rsid w:val="00C05369"/>
    <w:rsid w:val="00C063E3"/>
    <w:rsid w:val="00C07008"/>
    <w:rsid w:val="00C1433F"/>
    <w:rsid w:val="00C14E21"/>
    <w:rsid w:val="00C311D1"/>
    <w:rsid w:val="00C35137"/>
    <w:rsid w:val="00C40E00"/>
    <w:rsid w:val="00C45097"/>
    <w:rsid w:val="00C46C95"/>
    <w:rsid w:val="00C47426"/>
    <w:rsid w:val="00C576AD"/>
    <w:rsid w:val="00C62CD2"/>
    <w:rsid w:val="00C62EF0"/>
    <w:rsid w:val="00C63288"/>
    <w:rsid w:val="00C645BC"/>
    <w:rsid w:val="00C72ADD"/>
    <w:rsid w:val="00C7387A"/>
    <w:rsid w:val="00C742ED"/>
    <w:rsid w:val="00C74CA6"/>
    <w:rsid w:val="00C82E1C"/>
    <w:rsid w:val="00C95F45"/>
    <w:rsid w:val="00C97BEC"/>
    <w:rsid w:val="00CA2849"/>
    <w:rsid w:val="00CA3813"/>
    <w:rsid w:val="00CA451B"/>
    <w:rsid w:val="00CB6F0F"/>
    <w:rsid w:val="00CD114B"/>
    <w:rsid w:val="00CD6DA7"/>
    <w:rsid w:val="00CE4026"/>
    <w:rsid w:val="00CE6F8C"/>
    <w:rsid w:val="00CF05A4"/>
    <w:rsid w:val="00D011C3"/>
    <w:rsid w:val="00D037A6"/>
    <w:rsid w:val="00D07174"/>
    <w:rsid w:val="00D159CB"/>
    <w:rsid w:val="00D16104"/>
    <w:rsid w:val="00D16578"/>
    <w:rsid w:val="00D23A8C"/>
    <w:rsid w:val="00D345C8"/>
    <w:rsid w:val="00D349E9"/>
    <w:rsid w:val="00D36361"/>
    <w:rsid w:val="00D37CDD"/>
    <w:rsid w:val="00D40883"/>
    <w:rsid w:val="00D42A49"/>
    <w:rsid w:val="00D42B10"/>
    <w:rsid w:val="00D47EC7"/>
    <w:rsid w:val="00D5159F"/>
    <w:rsid w:val="00D53F31"/>
    <w:rsid w:val="00D624F7"/>
    <w:rsid w:val="00D62EA6"/>
    <w:rsid w:val="00D66C21"/>
    <w:rsid w:val="00D70D36"/>
    <w:rsid w:val="00D7201E"/>
    <w:rsid w:val="00D72582"/>
    <w:rsid w:val="00D80884"/>
    <w:rsid w:val="00D81E41"/>
    <w:rsid w:val="00D81F67"/>
    <w:rsid w:val="00D84332"/>
    <w:rsid w:val="00D843C4"/>
    <w:rsid w:val="00D91330"/>
    <w:rsid w:val="00D91E6A"/>
    <w:rsid w:val="00D92DDC"/>
    <w:rsid w:val="00D94CC2"/>
    <w:rsid w:val="00DA381F"/>
    <w:rsid w:val="00DB13A6"/>
    <w:rsid w:val="00DD5D3C"/>
    <w:rsid w:val="00DE2752"/>
    <w:rsid w:val="00DF1A16"/>
    <w:rsid w:val="00DF644A"/>
    <w:rsid w:val="00E0042F"/>
    <w:rsid w:val="00E040FC"/>
    <w:rsid w:val="00E10A19"/>
    <w:rsid w:val="00E126F5"/>
    <w:rsid w:val="00E14E0E"/>
    <w:rsid w:val="00E20305"/>
    <w:rsid w:val="00E20A6E"/>
    <w:rsid w:val="00E37FC7"/>
    <w:rsid w:val="00E41E43"/>
    <w:rsid w:val="00E5301D"/>
    <w:rsid w:val="00E55463"/>
    <w:rsid w:val="00E62A74"/>
    <w:rsid w:val="00E6445B"/>
    <w:rsid w:val="00E70013"/>
    <w:rsid w:val="00E704EE"/>
    <w:rsid w:val="00E71772"/>
    <w:rsid w:val="00E738E2"/>
    <w:rsid w:val="00E7500C"/>
    <w:rsid w:val="00E8003F"/>
    <w:rsid w:val="00E82F56"/>
    <w:rsid w:val="00E87EDF"/>
    <w:rsid w:val="00E940C8"/>
    <w:rsid w:val="00E94F04"/>
    <w:rsid w:val="00E94F21"/>
    <w:rsid w:val="00E95D56"/>
    <w:rsid w:val="00E96731"/>
    <w:rsid w:val="00EB1845"/>
    <w:rsid w:val="00EB77CA"/>
    <w:rsid w:val="00EC0545"/>
    <w:rsid w:val="00EC2199"/>
    <w:rsid w:val="00EC4EF7"/>
    <w:rsid w:val="00ED5D6E"/>
    <w:rsid w:val="00EE0133"/>
    <w:rsid w:val="00EE0493"/>
    <w:rsid w:val="00EF3EC6"/>
    <w:rsid w:val="00F00F3E"/>
    <w:rsid w:val="00F0151C"/>
    <w:rsid w:val="00F016F1"/>
    <w:rsid w:val="00F02019"/>
    <w:rsid w:val="00F02AC1"/>
    <w:rsid w:val="00F13251"/>
    <w:rsid w:val="00F13431"/>
    <w:rsid w:val="00F13A57"/>
    <w:rsid w:val="00F209AB"/>
    <w:rsid w:val="00F23909"/>
    <w:rsid w:val="00F36EE2"/>
    <w:rsid w:val="00F40734"/>
    <w:rsid w:val="00F45267"/>
    <w:rsid w:val="00F516B0"/>
    <w:rsid w:val="00F5208E"/>
    <w:rsid w:val="00F56E1F"/>
    <w:rsid w:val="00F57B18"/>
    <w:rsid w:val="00F606A6"/>
    <w:rsid w:val="00F60E5B"/>
    <w:rsid w:val="00F61439"/>
    <w:rsid w:val="00F64F54"/>
    <w:rsid w:val="00F65812"/>
    <w:rsid w:val="00F67CA6"/>
    <w:rsid w:val="00F75538"/>
    <w:rsid w:val="00F80F62"/>
    <w:rsid w:val="00F91710"/>
    <w:rsid w:val="00F93CD3"/>
    <w:rsid w:val="00F95C8E"/>
    <w:rsid w:val="00F97AE4"/>
    <w:rsid w:val="00FA10B5"/>
    <w:rsid w:val="00FB2008"/>
    <w:rsid w:val="00FB7481"/>
    <w:rsid w:val="00FC056C"/>
    <w:rsid w:val="00FC60A5"/>
    <w:rsid w:val="00FD2836"/>
    <w:rsid w:val="00FD30F0"/>
    <w:rsid w:val="00FE0D42"/>
    <w:rsid w:val="00FE44F4"/>
    <w:rsid w:val="00FF7CAC"/>
    <w:rsid w:val="02535ADD"/>
    <w:rsid w:val="04656943"/>
    <w:rsid w:val="04725AFB"/>
    <w:rsid w:val="050227BF"/>
    <w:rsid w:val="05954FBD"/>
    <w:rsid w:val="0FA4319A"/>
    <w:rsid w:val="0FBE40A4"/>
    <w:rsid w:val="11500630"/>
    <w:rsid w:val="11860AFA"/>
    <w:rsid w:val="127727B8"/>
    <w:rsid w:val="15B507DD"/>
    <w:rsid w:val="1B4115EC"/>
    <w:rsid w:val="1C220725"/>
    <w:rsid w:val="1F031AEE"/>
    <w:rsid w:val="1FF67EA2"/>
    <w:rsid w:val="209F3AB7"/>
    <w:rsid w:val="216E4DF7"/>
    <w:rsid w:val="261B59D1"/>
    <w:rsid w:val="2D51007F"/>
    <w:rsid w:val="2F437110"/>
    <w:rsid w:val="368925C5"/>
    <w:rsid w:val="3B603756"/>
    <w:rsid w:val="3CD568AA"/>
    <w:rsid w:val="3CEB0B47"/>
    <w:rsid w:val="3E23030F"/>
    <w:rsid w:val="3F030438"/>
    <w:rsid w:val="3FAF2352"/>
    <w:rsid w:val="406B20EE"/>
    <w:rsid w:val="44796D27"/>
    <w:rsid w:val="46DC77AA"/>
    <w:rsid w:val="47426E30"/>
    <w:rsid w:val="49AC778F"/>
    <w:rsid w:val="50A7626D"/>
    <w:rsid w:val="5153010F"/>
    <w:rsid w:val="51824207"/>
    <w:rsid w:val="51F21672"/>
    <w:rsid w:val="524E2BFA"/>
    <w:rsid w:val="55021E9E"/>
    <w:rsid w:val="55E935E2"/>
    <w:rsid w:val="565542F3"/>
    <w:rsid w:val="59452584"/>
    <w:rsid w:val="5D6A6D83"/>
    <w:rsid w:val="60306D04"/>
    <w:rsid w:val="6485182F"/>
    <w:rsid w:val="667047B4"/>
    <w:rsid w:val="687C3880"/>
    <w:rsid w:val="6BA951FA"/>
    <w:rsid w:val="6C167D33"/>
    <w:rsid w:val="7146365D"/>
    <w:rsid w:val="755236EF"/>
    <w:rsid w:val="75EE3CA3"/>
    <w:rsid w:val="79B11F29"/>
    <w:rsid w:val="7B5F0758"/>
    <w:rsid w:val="7B675F54"/>
    <w:rsid w:val="7BD9559D"/>
    <w:rsid w:val="7F51318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9"/>
    <w:qFormat/>
    <w:uiPriority w:val="0"/>
    <w:pPr>
      <w:keepNext/>
      <w:keepLines/>
      <w:outlineLvl w:val="0"/>
    </w:pPr>
    <w:rPr>
      <w:b/>
      <w:bCs/>
      <w:kern w:val="44"/>
      <w:sz w:val="24"/>
      <w:szCs w:val="44"/>
    </w:rPr>
  </w:style>
  <w:style w:type="paragraph" w:styleId="3">
    <w:name w:val="heading 2"/>
    <w:basedOn w:val="1"/>
    <w:next w:val="1"/>
    <w:link w:val="31"/>
    <w:qFormat/>
    <w:uiPriority w:val="0"/>
    <w:pPr>
      <w:keepNext/>
      <w:keepLines/>
      <w:spacing w:before="260" w:after="260" w:line="416" w:lineRule="auto"/>
      <w:outlineLvl w:val="1"/>
    </w:pPr>
    <w:rPr>
      <w:rFonts w:ascii="Arial" w:hAnsi="Arial" w:eastAsia="黑体"/>
      <w:b/>
      <w:bCs/>
      <w:sz w:val="32"/>
      <w:szCs w:val="32"/>
    </w:rPr>
  </w:style>
  <w:style w:type="paragraph" w:styleId="4">
    <w:name w:val="heading 5"/>
    <w:basedOn w:val="1"/>
    <w:next w:val="1"/>
    <w:qFormat/>
    <w:uiPriority w:val="0"/>
    <w:pPr>
      <w:outlineLvl w:val="4"/>
    </w:pPr>
    <w:rPr>
      <w:b/>
      <w:sz w:val="24"/>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semiHidden/>
    <w:qFormat/>
    <w:uiPriority w:val="0"/>
    <w:pPr>
      <w:jc w:val="left"/>
    </w:pPr>
  </w:style>
  <w:style w:type="paragraph" w:styleId="6">
    <w:name w:val="Body Text"/>
    <w:basedOn w:val="1"/>
    <w:link w:val="38"/>
    <w:qFormat/>
    <w:uiPriority w:val="0"/>
    <w:pPr>
      <w:spacing w:after="120"/>
    </w:pPr>
  </w:style>
  <w:style w:type="paragraph" w:styleId="7">
    <w:name w:val="Body Text Indent"/>
    <w:basedOn w:val="1"/>
    <w:link w:val="23"/>
    <w:qFormat/>
    <w:uiPriority w:val="0"/>
    <w:pPr>
      <w:widowControl/>
      <w:ind w:firstLine="560" w:firstLineChars="200"/>
      <w:jc w:val="left"/>
    </w:pPr>
    <w:rPr>
      <w:rFonts w:ascii="宋体" w:hAnsi="宋体"/>
      <w:color w:val="000000"/>
      <w:sz w:val="28"/>
      <w:szCs w:val="33"/>
    </w:rPr>
  </w:style>
  <w:style w:type="paragraph" w:styleId="8">
    <w:name w:val="Date"/>
    <w:basedOn w:val="1"/>
    <w:next w:val="1"/>
    <w:link w:val="24"/>
    <w:qFormat/>
    <w:uiPriority w:val="0"/>
    <w:pPr>
      <w:ind w:left="100" w:leftChars="2500"/>
    </w:pPr>
    <w:rPr>
      <w:sz w:val="24"/>
    </w:rPr>
  </w:style>
  <w:style w:type="paragraph" w:styleId="9">
    <w:name w:val="Body Text Indent 2"/>
    <w:basedOn w:val="1"/>
    <w:link w:val="28"/>
    <w:qFormat/>
    <w:uiPriority w:val="0"/>
    <w:pPr>
      <w:spacing w:after="120" w:line="480" w:lineRule="auto"/>
      <w:ind w:left="420" w:leftChars="200"/>
    </w:pPr>
  </w:style>
  <w:style w:type="paragraph" w:styleId="10">
    <w:name w:val="Balloon Text"/>
    <w:basedOn w:val="1"/>
    <w:link w:val="26"/>
    <w:qFormat/>
    <w:uiPriority w:val="0"/>
    <w:rPr>
      <w:sz w:val="18"/>
      <w:szCs w:val="18"/>
    </w:rPr>
  </w:style>
  <w:style w:type="paragraph" w:styleId="11">
    <w:name w:val="footer"/>
    <w:basedOn w:val="1"/>
    <w:link w:val="30"/>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style>
  <w:style w:type="paragraph" w:styleId="14">
    <w:name w:val="Body Text Indent 3"/>
    <w:basedOn w:val="1"/>
    <w:link w:val="25"/>
    <w:qFormat/>
    <w:uiPriority w:val="0"/>
    <w:pPr>
      <w:spacing w:after="120"/>
      <w:ind w:left="420" w:leftChars="200"/>
    </w:pPr>
    <w:rPr>
      <w:sz w:val="16"/>
      <w:szCs w:val="16"/>
    </w:rPr>
  </w:style>
  <w:style w:type="paragraph" w:styleId="15">
    <w:name w:val="Title"/>
    <w:basedOn w:val="1"/>
    <w:next w:val="1"/>
    <w:link w:val="27"/>
    <w:qFormat/>
    <w:uiPriority w:val="0"/>
    <w:pPr>
      <w:spacing w:before="240" w:after="60"/>
      <w:jc w:val="center"/>
      <w:outlineLvl w:val="0"/>
    </w:pPr>
    <w:rPr>
      <w:rFonts w:ascii="Cambria" w:hAnsi="Cambria"/>
      <w:b/>
      <w:bCs/>
      <w:sz w:val="32"/>
      <w:szCs w:val="32"/>
    </w:rPr>
  </w:style>
  <w:style w:type="paragraph" w:styleId="16">
    <w:name w:val="annotation subject"/>
    <w:basedOn w:val="5"/>
    <w:next w:val="5"/>
    <w:semiHidden/>
    <w:qFormat/>
    <w:uiPriority w:val="0"/>
    <w:rPr>
      <w:b/>
      <w:bCs/>
    </w:rPr>
  </w:style>
  <w:style w:type="character" w:styleId="19">
    <w:name w:val="page number"/>
    <w:basedOn w:val="18"/>
    <w:qFormat/>
    <w:uiPriority w:val="0"/>
  </w:style>
  <w:style w:type="character" w:styleId="20">
    <w:name w:val="Hyperlink"/>
    <w:qFormat/>
    <w:uiPriority w:val="99"/>
    <w:rPr>
      <w:color w:val="0000FF"/>
      <w:u w:val="single"/>
    </w:rPr>
  </w:style>
  <w:style w:type="character" w:styleId="21">
    <w:name w:val="annotation reference"/>
    <w:qFormat/>
    <w:uiPriority w:val="0"/>
    <w:rPr>
      <w:sz w:val="21"/>
      <w:szCs w:val="21"/>
    </w:rPr>
  </w:style>
  <w:style w:type="character" w:customStyle="1" w:styleId="22">
    <w:name w:val="访问过的超链接1"/>
    <w:qFormat/>
    <w:uiPriority w:val="0"/>
    <w:rPr>
      <w:color w:val="800080"/>
      <w:u w:val="single"/>
    </w:rPr>
  </w:style>
  <w:style w:type="character" w:customStyle="1" w:styleId="23">
    <w:name w:val="正文文本缩进 Char"/>
    <w:link w:val="7"/>
    <w:qFormat/>
    <w:uiPriority w:val="0"/>
    <w:rPr>
      <w:rFonts w:ascii="宋体" w:hAnsi="宋体"/>
      <w:color w:val="000000"/>
      <w:kern w:val="2"/>
      <w:sz w:val="28"/>
      <w:szCs w:val="33"/>
    </w:rPr>
  </w:style>
  <w:style w:type="character" w:customStyle="1" w:styleId="24">
    <w:name w:val="日期 Char"/>
    <w:link w:val="8"/>
    <w:qFormat/>
    <w:uiPriority w:val="0"/>
    <w:rPr>
      <w:kern w:val="2"/>
      <w:sz w:val="24"/>
      <w:szCs w:val="24"/>
    </w:rPr>
  </w:style>
  <w:style w:type="character" w:customStyle="1" w:styleId="25">
    <w:name w:val="正文文本缩进 3 Char"/>
    <w:link w:val="14"/>
    <w:qFormat/>
    <w:uiPriority w:val="0"/>
    <w:rPr>
      <w:kern w:val="2"/>
      <w:sz w:val="16"/>
      <w:szCs w:val="16"/>
    </w:rPr>
  </w:style>
  <w:style w:type="character" w:customStyle="1" w:styleId="26">
    <w:name w:val="批注框文本 Char"/>
    <w:link w:val="10"/>
    <w:qFormat/>
    <w:uiPriority w:val="0"/>
    <w:rPr>
      <w:kern w:val="2"/>
      <w:sz w:val="18"/>
      <w:szCs w:val="18"/>
    </w:rPr>
  </w:style>
  <w:style w:type="character" w:customStyle="1" w:styleId="27">
    <w:name w:val="标题 Char"/>
    <w:link w:val="15"/>
    <w:qFormat/>
    <w:uiPriority w:val="0"/>
    <w:rPr>
      <w:rFonts w:ascii="Cambria" w:hAnsi="Cambria" w:cs="Times New Roman"/>
      <w:b/>
      <w:bCs/>
      <w:kern w:val="2"/>
      <w:sz w:val="32"/>
      <w:szCs w:val="32"/>
    </w:rPr>
  </w:style>
  <w:style w:type="character" w:customStyle="1" w:styleId="28">
    <w:name w:val="正文文本缩进 2 Char"/>
    <w:link w:val="9"/>
    <w:qFormat/>
    <w:uiPriority w:val="0"/>
    <w:rPr>
      <w:kern w:val="2"/>
      <w:sz w:val="21"/>
      <w:szCs w:val="24"/>
    </w:rPr>
  </w:style>
  <w:style w:type="character" w:customStyle="1" w:styleId="29">
    <w:name w:val="标题 1 Char"/>
    <w:link w:val="2"/>
    <w:qFormat/>
    <w:uiPriority w:val="0"/>
    <w:rPr>
      <w:b/>
      <w:bCs/>
      <w:kern w:val="44"/>
      <w:sz w:val="24"/>
      <w:szCs w:val="44"/>
    </w:rPr>
  </w:style>
  <w:style w:type="character" w:customStyle="1" w:styleId="30">
    <w:name w:val="页脚 Char"/>
    <w:link w:val="11"/>
    <w:qFormat/>
    <w:uiPriority w:val="0"/>
    <w:rPr>
      <w:kern w:val="2"/>
      <w:sz w:val="18"/>
      <w:szCs w:val="18"/>
    </w:rPr>
  </w:style>
  <w:style w:type="character" w:customStyle="1" w:styleId="31">
    <w:name w:val="标题 2 Char"/>
    <w:link w:val="3"/>
    <w:qFormat/>
    <w:uiPriority w:val="0"/>
    <w:rPr>
      <w:rFonts w:ascii="Arial" w:hAnsi="Arial" w:eastAsia="黑体"/>
      <w:b/>
      <w:bCs/>
      <w:kern w:val="2"/>
      <w:sz w:val="32"/>
      <w:szCs w:val="32"/>
    </w:rPr>
  </w:style>
  <w:style w:type="paragraph" w:customStyle="1" w:styleId="32">
    <w:name w:val="目录 21"/>
    <w:basedOn w:val="1"/>
    <w:next w:val="1"/>
    <w:unhideWhenUsed/>
    <w:qFormat/>
    <w:uiPriority w:val="39"/>
    <w:pPr>
      <w:widowControl/>
      <w:spacing w:after="100" w:line="276" w:lineRule="auto"/>
      <w:ind w:left="220"/>
      <w:jc w:val="left"/>
    </w:pPr>
    <w:rPr>
      <w:rFonts w:ascii="Calibri" w:hAnsi="Calibri"/>
      <w:kern w:val="0"/>
      <w:sz w:val="22"/>
      <w:szCs w:val="22"/>
    </w:rPr>
  </w:style>
  <w:style w:type="paragraph" w:customStyle="1" w:styleId="33">
    <w:name w:val="目录 31"/>
    <w:basedOn w:val="1"/>
    <w:next w:val="1"/>
    <w:unhideWhenUsed/>
    <w:qFormat/>
    <w:uiPriority w:val="39"/>
    <w:pPr>
      <w:widowControl/>
      <w:spacing w:after="100" w:line="276" w:lineRule="auto"/>
      <w:ind w:left="440"/>
      <w:jc w:val="left"/>
    </w:pPr>
    <w:rPr>
      <w:rFonts w:ascii="Calibri" w:hAnsi="Calibri"/>
      <w:kern w:val="0"/>
      <w:sz w:val="22"/>
      <w:szCs w:val="22"/>
    </w:rPr>
  </w:style>
  <w:style w:type="paragraph" w:customStyle="1" w:styleId="34">
    <w:name w:val="目录 11"/>
    <w:basedOn w:val="1"/>
    <w:next w:val="1"/>
    <w:unhideWhenUsed/>
    <w:qFormat/>
    <w:uiPriority w:val="39"/>
    <w:pPr>
      <w:widowControl/>
      <w:spacing w:after="100" w:line="276" w:lineRule="auto"/>
      <w:jc w:val="left"/>
    </w:pPr>
    <w:rPr>
      <w:rFonts w:ascii="Calibri" w:hAnsi="Calibri"/>
      <w:kern w:val="0"/>
      <w:sz w:val="22"/>
      <w:szCs w:val="22"/>
    </w:rPr>
  </w:style>
  <w:style w:type="paragraph" w:customStyle="1" w:styleId="35">
    <w:name w:val="字母编号列项（一级）"/>
    <w:qFormat/>
    <w:uiPriority w:val="0"/>
    <w:pPr>
      <w:ind w:left="840" w:leftChars="200" w:hanging="420" w:hangingChars="200"/>
      <w:jc w:val="both"/>
    </w:pPr>
    <w:rPr>
      <w:rFonts w:ascii="宋体" w:hAnsi="Times New Roman" w:eastAsia="宋体" w:cs="Times New Roman"/>
      <w:sz w:val="21"/>
      <w:lang w:val="en-US" w:eastAsia="zh-CN" w:bidi="ar-SA"/>
    </w:rPr>
  </w:style>
  <w:style w:type="paragraph" w:customStyle="1" w:styleId="36">
    <w:name w:val="TOC 标题1"/>
    <w:basedOn w:val="2"/>
    <w:next w:val="1"/>
    <w:qFormat/>
    <w:uiPriority w:val="39"/>
    <w:pPr>
      <w:widowControl/>
      <w:spacing w:before="480" w:line="276" w:lineRule="auto"/>
      <w:jc w:val="left"/>
      <w:outlineLvl w:val="9"/>
    </w:pPr>
    <w:rPr>
      <w:rFonts w:ascii="Cambria" w:hAnsi="Cambria"/>
      <w:color w:val="365F91"/>
      <w:kern w:val="0"/>
      <w:sz w:val="28"/>
      <w:szCs w:val="28"/>
    </w:rPr>
  </w:style>
  <w:style w:type="paragraph" w:customStyle="1" w:styleId="37">
    <w:name w:val="修订1"/>
    <w:semiHidden/>
    <w:qFormat/>
    <w:uiPriority w:val="99"/>
    <w:rPr>
      <w:rFonts w:ascii="Times New Roman" w:hAnsi="Times New Roman" w:eastAsia="宋体" w:cs="Times New Roman"/>
      <w:kern w:val="2"/>
      <w:sz w:val="21"/>
      <w:szCs w:val="24"/>
      <w:lang w:val="en-US" w:eastAsia="zh-CN" w:bidi="ar-SA"/>
    </w:rPr>
  </w:style>
  <w:style w:type="character" w:customStyle="1" w:styleId="38">
    <w:name w:val="正文文本 Char"/>
    <w:basedOn w:val="18"/>
    <w:link w:val="6"/>
    <w:qFormat/>
    <w:uiPriority w:val="0"/>
    <w:rPr>
      <w:kern w:val="2"/>
      <w:sz w:val="21"/>
      <w:szCs w:val="24"/>
    </w:rPr>
  </w:style>
  <w:style w:type="paragraph" w:customStyle="1" w:styleId="39">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4.wmf"/><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jf\Desktop\&#25991;&#20214;&#27169;&#26495;&#35774;&#32622;\&#38468;&#20214;1%20%20&#20844;&#24320;&#25991;&#20214;&#27169;&#29256;.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6"/>
    <customShpInfo spid="_x0000_s1030"/>
    <customShpInfo spid="_x0000_s1029"/>
    <customShpInfo spid="_x0000_s102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D20CED9-5FB7-454A-BE99-A004401385B2}">
  <ds:schemaRefs/>
</ds:datastoreItem>
</file>

<file path=docProps/app.xml><?xml version="1.0" encoding="utf-8"?>
<Properties xmlns="http://schemas.openxmlformats.org/officeDocument/2006/extended-properties" xmlns:vt="http://schemas.openxmlformats.org/officeDocument/2006/docPropsVTypes">
  <Template>附件1  公开文件模版</Template>
  <Company>fy</Company>
  <Pages>15</Pages>
  <Words>1326</Words>
  <Characters>7562</Characters>
  <Lines>63</Lines>
  <Paragraphs>17</Paragraphs>
  <TotalTime>10</TotalTime>
  <ScaleCrop>false</ScaleCrop>
  <LinksUpToDate>false</LinksUpToDate>
  <CharactersWithSpaces>8871</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2021-07-20T06:57:00Z</dcterms:created>
  <dc:creator>cqm</dc:creator>
  <cp:lastModifiedBy>小明</cp:lastModifiedBy>
  <cp:lastPrinted>2021-06-11T07:46:00Z</cp:lastPrinted>
  <dcterms:modified xsi:type="dcterms:W3CDTF">2021-11-02T05:25:17Z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C3815A8CFDC54C2CA0A4903CBC167BBB</vt:lpwstr>
  </property>
</Properties>
</file>