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71900" cy="601980"/>
            <wp:effectExtent l="19050" t="0" r="0" b="0"/>
            <wp:docPr id="9"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0" descr="方圆标志全称.jpg"/>
                    <pic:cNvPicPr>
                      <a:picLocks noChangeAspect="1" noChangeArrowheads="1"/>
                    </pic:cNvPicPr>
                  </pic:nvPicPr>
                  <pic:blipFill>
                    <a:blip r:embed="rId8"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mc:AlternateContent>
          <mc:Choice Requires="wps">
            <w:drawing>
              <wp:anchor distT="0" distB="0" distL="114300" distR="114300" simplePos="0" relativeHeight="251659264" behindDoc="0" locked="0" layoutInCell="1" allowOverlap="1">
                <wp:simplePos x="0" y="0"/>
                <wp:positionH relativeFrom="column">
                  <wp:posOffset>-302260</wp:posOffset>
                </wp:positionH>
                <wp:positionV relativeFrom="paragraph">
                  <wp:posOffset>247015</wp:posOffset>
                </wp:positionV>
                <wp:extent cx="5806440" cy="1015365"/>
                <wp:effectExtent l="0" t="0" r="3810" b="13335"/>
                <wp:wrapNone/>
                <wp:docPr id="4" name="Text Box 4"/>
                <wp:cNvGraphicFramePr/>
                <a:graphic xmlns:a="http://schemas.openxmlformats.org/drawingml/2006/main">
                  <a:graphicData uri="http://schemas.microsoft.com/office/word/2010/wordprocessingShape">
                    <wps:wsp>
                      <wps:cNvSpPr txBox="1">
                        <a:spLocks noChangeArrowheads="1"/>
                      </wps:cNvSpPr>
                      <wps:spPr bwMode="auto">
                        <a:xfrm>
                          <a:off x="0" y="0"/>
                          <a:ext cx="5806440" cy="1015365"/>
                        </a:xfrm>
                        <a:prstGeom prst="rect">
                          <a:avLst/>
                        </a:prstGeom>
                        <a:solidFill>
                          <a:srgbClr val="C0C0C0">
                            <a:alpha val="39999"/>
                          </a:srgbClr>
                        </a:solidFill>
                        <a:ln>
                          <a:noFill/>
                        </a:ln>
                      </wps:spPr>
                      <wps:txbx>
                        <w:txbxContent>
                          <w:p>
                            <w:pPr>
                              <w:autoSpaceDE w:val="0"/>
                              <w:autoSpaceDN w:val="0"/>
                              <w:spacing w:before="156" w:beforeLines="50" w:line="0" w:lineRule="atLeast"/>
                              <w:jc w:val="center"/>
                              <w:rPr>
                                <w:sz w:val="52"/>
                                <w:szCs w:val="52"/>
                              </w:rPr>
                            </w:pPr>
                            <w:bookmarkStart w:id="8" w:name="_Toc439928975"/>
                            <w:r>
                              <w:rPr>
                                <w:rFonts w:hint="eastAsia" w:eastAsia="黑体"/>
                                <w:sz w:val="52"/>
                                <w:szCs w:val="52"/>
                              </w:rPr>
                              <w:t>数据安全风险管理认证收费管理规则</w:t>
                            </w:r>
                            <w:bookmarkEnd w:id="8"/>
                          </w:p>
                        </w:txbxContent>
                      </wps:txbx>
                      <wps:bodyPr rot="0" vert="horz" wrap="square" lIns="0" tIns="144000" rIns="0" bIns="82800" anchor="t" anchorCtr="0" upright="1">
                        <a:noAutofit/>
                      </wps:bodyPr>
                    </wps:wsp>
                  </a:graphicData>
                </a:graphic>
              </wp:anchor>
            </w:drawing>
          </mc:Choice>
          <mc:Fallback>
            <w:pict>
              <v:shape id="Text Box 4" o:spid="_x0000_s1026" o:spt="202" type="#_x0000_t202" style="position:absolute;left:0pt;margin-left:-23.8pt;margin-top:19.45pt;height:79.95pt;width:457.2pt;z-index:251659264;mso-width-relative:page;mso-height-relative:page;" fillcolor="#C0C0C0" filled="t" stroked="f" coordsize="21600,21600" o:gfxdata="UEsDBAoAAAAAAIdO4kAAAAAAAAAAAAAAAAAEAAAAZHJzL1BLAwQUAAAACACHTuJAVIiR49kAAAAK&#10;AQAADwAAAGRycy9kb3ducmV2LnhtbE2Py07DMBBF90j8gzVIbFDrFFBwQ5xK0IK6LOWxduNpHBGP&#10;o9hNy98zXcFyNEf3nlsuTr4TIw6xDaRhNs1AINXBttRo+Hh/mSgQMRmypguEGn4wwqK6vChNYcOR&#10;3nDcpkZwCMXCaHAp9YWUsXboTZyGHol/+zB4k/gcGmkHc+Rw38nbLMulNy1xgzM9Pjusv7cHr2Hl&#10;1NPNsnldf602n2Y/Lpt1xI3W11ez7BFEwlP6g+Gsz+pQsdMuHMhG0WmY3D/kjGq4U3MQDKg85y07&#10;JudKgaxK+X9C9QtQSwMEFAAAAAgAh07iQDEO9uYqAgAAWAQAAA4AAABkcnMvZTJvRG9jLnhtbK1U&#10;227bMAx9H7B/EPS+2GmTIDPiFF2CDgO6C9DuAxRZjoXJokYpsbOvHyUlXde99GE2YFAUdchzSHl1&#10;M/aGHRV6Dbbm00nJmbISGm33Nf/+ePduyZkPwjbCgFU1PynPb9Zv36wGV6kr6MA0ChmBWF8NruZd&#10;CK4qCi871Qs/AacsbbaAvQi0xH3RoBgIvTfFVVkuigGwcQhSeU/ebd7kZ0R8DSC0rZZqC/LQKxsy&#10;KiojAlHynXaer1O1batk+Nq2XgVmak5MQ/pSErJ38VusV6Lao3CdlucSxGtKeMGpF9pS0ieorQiC&#10;HVD/A9VrieChDRMJfZGJJEWIxbR8oc1DJ5xKXEhq755E9/8PVn45fkOmm5rPOLOip4Y/qjGwDzCy&#10;WVRncL6ioAdHYWEkN81MYurdPcgfnlnYdMLu1S0iDJ0SDVU3jSeLZ0czjo8gu+EzNJRGHAIkoLHF&#10;PkpHYjBCp86cnjoTS5HknC/LxWxGW5L2puV0fr2Ypxyiuhx36MNHBT2LRs2RWp/gxfHeh1iOqC4h&#10;MZsHo5s7bUxa4H63MciOgsZkU8Y3nzWuE9l7/Z6ec0qfwxPmXzjGRjQLETenjJ4kROSeVQjjbjwL&#10;u4PmRJIg5LmkW0lGB/iLs4Fmsub+50Gg4sx8siRrHOBkTEmLklZ4ce+SsbxaRq+wkjBqHi7mJuSJ&#10;PzjU+45S5A5auKUetDqpE5uVyzkXTAOXCJ4vR5zo5+sU9eeHsP4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VIiR49kAAAAKAQAADwAAAAAAAAABACAAAAAiAAAAZHJzL2Rvd25yZXYueG1sUEsBAhQA&#10;FAAAAAgAh07iQDEO9uYqAgAAWAQAAA4AAAAAAAAAAQAgAAAAKAEAAGRycy9lMm9Eb2MueG1sUEsF&#10;BgAAAAAGAAYAWQEAAMQFAAAAAA==&#10;">
                <v:fill on="t" opacity="26213f" focussize="0,0"/>
                <v:stroke on="f"/>
                <v:imagedata o:title=""/>
                <o:lock v:ext="edit" aspectratio="f"/>
                <v:textbox inset="0mm,4mm,0mm,2.3mm">
                  <w:txbxContent>
                    <w:p>
                      <w:pPr>
                        <w:autoSpaceDE w:val="0"/>
                        <w:autoSpaceDN w:val="0"/>
                        <w:spacing w:before="156" w:beforeLines="50" w:line="0" w:lineRule="atLeast"/>
                        <w:jc w:val="center"/>
                        <w:rPr>
                          <w:sz w:val="52"/>
                          <w:szCs w:val="52"/>
                        </w:rPr>
                      </w:pPr>
                      <w:bookmarkStart w:id="8" w:name="_Toc439928975"/>
                      <w:r>
                        <w:rPr>
                          <w:rFonts w:hint="eastAsia" w:eastAsia="黑体"/>
                          <w:sz w:val="52"/>
                          <w:szCs w:val="52"/>
                        </w:rPr>
                        <w:t>数据安全风险管理认证收费管理规则</w:t>
                      </w:r>
                      <w:bookmarkEnd w:id="8"/>
                    </w:p>
                  </w:txbxContent>
                </v:textbox>
              </v:shape>
            </w:pict>
          </mc:Fallback>
        </mc:AlternateConten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268" w:tblpY="7591"/>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rPr>
                <w:rFonts w:ascii="Arial Unicode MS" w:hAnsi="Arial Unicode MS" w:eastAsia="仿宋_GB2312" w:cs="Arial Unicode MS"/>
                <w:sz w:val="28"/>
                <w:szCs w:val="28"/>
              </w:rPr>
            </w:pPr>
            <w:r>
              <w:rPr>
                <w:rFonts w:eastAsia="仿宋_GB2312"/>
                <w:sz w:val="28"/>
                <w:szCs w:val="15"/>
              </w:rPr>
              <w:t>CQM/S-GK-003</w:t>
            </w:r>
            <w:r>
              <w:rPr>
                <w:rFonts w:hint="eastAsia" w:eastAsia="仿宋_GB2312"/>
                <w:sz w:val="28"/>
                <w:szCs w:val="15"/>
              </w:rPr>
              <w:t>-（13）</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10</w:t>
            </w:r>
            <w:r>
              <w:rPr>
                <w:rFonts w:eastAsia="仿宋_GB2312"/>
                <w:sz w:val="28"/>
                <w:szCs w:val="15"/>
              </w:rPr>
              <w:t>月</w:t>
            </w:r>
            <w:r>
              <w:rPr>
                <w:rFonts w:hint="eastAsia" w:eastAsia="仿宋_GB2312"/>
                <w:sz w:val="28"/>
                <w:szCs w:val="15"/>
              </w:rPr>
              <w:t>27</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rPr>
                <w:rFonts w:hint="default" w:eastAsia="仿宋_GB2312"/>
                <w:color w:val="000000"/>
                <w:sz w:val="28"/>
                <w:szCs w:val="15"/>
                <w:lang w:val="en-US" w:eastAsia="zh-CN"/>
              </w:rPr>
            </w:pPr>
            <w:r>
              <w:rPr>
                <w:rFonts w:hint="eastAsia" w:eastAsia="仿宋_GB2312"/>
                <w:color w:val="000000"/>
                <w:sz w:val="28"/>
                <w:szCs w:val="15"/>
                <w:lang w:val="en-US" w:eastAsia="zh-CN"/>
              </w:rPr>
              <w:t>2022年03月18日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rPr>
                <w:rFonts w:eastAsia="仿宋_GB2312"/>
                <w:sz w:val="28"/>
              </w:rPr>
            </w:pPr>
            <w:r>
              <w:rPr>
                <w:rFonts w:hint="eastAsia" w:eastAsia="仿宋_GB2312"/>
                <w:color w:val="000000"/>
                <w:sz w:val="28"/>
                <w:szCs w:val="15"/>
                <w:lang w:val="en-US" w:eastAsia="zh-CN"/>
              </w:rPr>
              <w:t>2022年03月18日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60288" behindDoc="0" locked="0" layoutInCell="1" allowOverlap="1">
            <wp:simplePos x="0" y="0"/>
            <wp:positionH relativeFrom="column">
              <wp:posOffset>-1161415</wp:posOffset>
            </wp:positionH>
            <wp:positionV relativeFrom="paragraph">
              <wp:posOffset>56515</wp:posOffset>
            </wp:positionV>
            <wp:extent cx="3893185" cy="2838450"/>
            <wp:effectExtent l="19050" t="0" r="0" b="0"/>
            <wp:wrapNone/>
            <wp:docPr id="3"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791798467DFB4DCAB07D0134B56CF23C.jpg"/>
                    <pic:cNvPicPr>
                      <a:picLocks noChangeAspect="1"/>
                    </pic:cNvPicPr>
                  </pic:nvPicPr>
                  <pic:blipFill>
                    <a:blip r:embed="rId9" cstate="print"/>
                    <a:stretch>
                      <a:fillRect/>
                    </a:stretch>
                  </pic:blipFill>
                  <pic:spPr>
                    <a:xfrm>
                      <a:off x="0" y="0"/>
                      <a:ext cx="3892992" cy="2838615"/>
                    </a:xfrm>
                    <a:prstGeom prst="rect">
                      <a:avLst/>
                    </a:prstGeom>
                  </pic:spPr>
                </pic:pic>
              </a:graphicData>
            </a:graphic>
          </wp:anchor>
        </w:drawing>
      </w:r>
    </w:p>
    <w:p/>
    <w:p/>
    <w:p/>
    <w:p/>
    <w:p/>
    <w:p/>
    <w:p/>
    <w:p/>
    <w:p>
      <w:pPr>
        <w:ind w:firstLine="602" w:firstLineChars="200"/>
        <w:jc w:val="center"/>
        <w:rPr>
          <w:rFonts w:hint="eastAsia"/>
          <w:b/>
          <w:bCs/>
          <w:sz w:val="30"/>
        </w:rPr>
      </w:pPr>
    </w:p>
    <w:p>
      <w:pPr>
        <w:ind w:firstLine="602" w:firstLineChars="200"/>
        <w:jc w:val="center"/>
        <w:rPr>
          <w:b/>
          <w:bCs/>
          <w:sz w:val="30"/>
        </w:rPr>
      </w:pPr>
      <w:r>
        <w:rPr>
          <w:rFonts w:hint="eastAsia"/>
          <w:b/>
          <w:bCs/>
          <w:sz w:val="30"/>
        </w:rPr>
        <w:t>目</w:t>
      </w:r>
      <w:r>
        <w:rPr>
          <w:rFonts w:hint="eastAsia"/>
          <w:b/>
          <w:bCs/>
          <w:sz w:val="30"/>
          <w:lang w:val="en-US" w:eastAsia="zh-CN"/>
        </w:rPr>
        <w:t xml:space="preserve">    </w:t>
      </w:r>
      <w:r>
        <w:rPr>
          <w:rFonts w:hint="eastAsia"/>
          <w:b/>
          <w:bCs/>
          <w:sz w:val="30"/>
        </w:rPr>
        <w:t>录</w:t>
      </w:r>
    </w:p>
    <w:p>
      <w:pPr>
        <w:ind w:firstLine="602" w:firstLineChars="200"/>
        <w:jc w:val="center"/>
        <w:rPr>
          <w:b/>
          <w:bCs/>
          <w:sz w:val="30"/>
        </w:rPr>
      </w:pPr>
    </w:p>
    <w:p>
      <w:pPr>
        <w:pStyle w:val="12"/>
        <w:pageBreakBefore w:val="0"/>
        <w:widowControl/>
        <w:tabs>
          <w:tab w:val="right" w:leader="dot" w:pos="8302"/>
        </w:tabs>
        <w:kinsoku/>
        <w:wordWrap/>
        <w:overflowPunct/>
        <w:topLinePunct w:val="0"/>
        <w:autoSpaceDE/>
        <w:autoSpaceDN/>
        <w:bidi w:val="0"/>
        <w:adjustRightInd/>
        <w:snapToGrid w:val="0"/>
        <w:spacing w:line="360" w:lineRule="auto"/>
        <w:textAlignment w:val="auto"/>
        <w:rPr>
          <w:kern w:val="2"/>
          <w:sz w:val="21"/>
        </w:rPr>
      </w:pPr>
      <w:r>
        <w:fldChar w:fldCharType="begin"/>
      </w:r>
      <w:r>
        <w:instrText xml:space="preserve"> TOC \h \z \t "标题 1,1"</w:instrText>
      </w:r>
      <w:r>
        <w:fldChar w:fldCharType="separate"/>
      </w:r>
      <w:r>
        <w:fldChar w:fldCharType="begin"/>
      </w:r>
      <w:r>
        <w:instrText xml:space="preserve"> HYPERLINK \l "_Toc50730307" </w:instrText>
      </w:r>
      <w:r>
        <w:fldChar w:fldCharType="separate"/>
      </w:r>
      <w:r>
        <w:rPr>
          <w:rStyle w:val="20"/>
        </w:rPr>
        <w:t>1.</w:t>
      </w:r>
      <w:r>
        <w:rPr>
          <w:rStyle w:val="20"/>
          <w:rFonts w:hint="eastAsia"/>
        </w:rPr>
        <w:t>目的与使用范围</w:t>
      </w:r>
      <w:r>
        <w:tab/>
      </w:r>
      <w:r>
        <w:fldChar w:fldCharType="begin"/>
      </w:r>
      <w:r>
        <w:instrText xml:space="preserve"> PAGEREF _Toc50730307 \h </w:instrText>
      </w:r>
      <w:r>
        <w:fldChar w:fldCharType="separate"/>
      </w:r>
      <w:r>
        <w:t>2</w:t>
      </w:r>
      <w:r>
        <w:fldChar w:fldCharType="end"/>
      </w:r>
      <w:r>
        <w:fldChar w:fldCharType="end"/>
      </w:r>
    </w:p>
    <w:p>
      <w:pPr>
        <w:pStyle w:val="12"/>
        <w:pageBreakBefore w:val="0"/>
        <w:widowControl/>
        <w:tabs>
          <w:tab w:val="right" w:leader="dot" w:pos="8302"/>
        </w:tabs>
        <w:kinsoku/>
        <w:wordWrap/>
        <w:overflowPunct/>
        <w:topLinePunct w:val="0"/>
        <w:autoSpaceDE/>
        <w:autoSpaceDN/>
        <w:bidi w:val="0"/>
        <w:adjustRightInd/>
        <w:snapToGrid w:val="0"/>
        <w:spacing w:line="360" w:lineRule="auto"/>
        <w:textAlignment w:val="auto"/>
        <w:rPr>
          <w:kern w:val="2"/>
          <w:sz w:val="21"/>
        </w:rPr>
      </w:pPr>
      <w:r>
        <w:fldChar w:fldCharType="begin"/>
      </w:r>
      <w:r>
        <w:instrText xml:space="preserve"> HYPERLINK \l "_Toc50730308" </w:instrText>
      </w:r>
      <w:r>
        <w:fldChar w:fldCharType="separate"/>
      </w:r>
      <w:r>
        <w:rPr>
          <w:rStyle w:val="20"/>
        </w:rPr>
        <w:t>2.</w:t>
      </w:r>
      <w:r>
        <w:rPr>
          <w:rStyle w:val="20"/>
          <w:rFonts w:hint="eastAsia"/>
        </w:rPr>
        <w:t>基本原则</w:t>
      </w:r>
      <w:r>
        <w:tab/>
      </w:r>
      <w:r>
        <w:fldChar w:fldCharType="begin"/>
      </w:r>
      <w:r>
        <w:instrText xml:space="preserve"> PAGEREF _Toc50730308 \h </w:instrText>
      </w:r>
      <w:r>
        <w:fldChar w:fldCharType="separate"/>
      </w:r>
      <w:r>
        <w:t>2</w:t>
      </w:r>
      <w:r>
        <w:fldChar w:fldCharType="end"/>
      </w:r>
      <w:r>
        <w:fldChar w:fldCharType="end"/>
      </w:r>
    </w:p>
    <w:p>
      <w:pPr>
        <w:pStyle w:val="12"/>
        <w:pageBreakBefore w:val="0"/>
        <w:widowControl/>
        <w:tabs>
          <w:tab w:val="right" w:leader="dot" w:pos="8302"/>
        </w:tabs>
        <w:kinsoku/>
        <w:wordWrap/>
        <w:overflowPunct/>
        <w:topLinePunct w:val="0"/>
        <w:autoSpaceDE/>
        <w:autoSpaceDN/>
        <w:bidi w:val="0"/>
        <w:adjustRightInd/>
        <w:snapToGrid w:val="0"/>
        <w:spacing w:line="360" w:lineRule="auto"/>
        <w:textAlignment w:val="auto"/>
        <w:rPr>
          <w:kern w:val="2"/>
          <w:sz w:val="21"/>
        </w:rPr>
      </w:pPr>
      <w:r>
        <w:fldChar w:fldCharType="begin"/>
      </w:r>
      <w:r>
        <w:instrText xml:space="preserve"> HYPERLINK \l "_Toc50730309" </w:instrText>
      </w:r>
      <w:r>
        <w:fldChar w:fldCharType="separate"/>
      </w:r>
      <w:r>
        <w:rPr>
          <w:rStyle w:val="20"/>
        </w:rPr>
        <w:t>3.</w:t>
      </w:r>
      <w:r>
        <w:rPr>
          <w:rStyle w:val="20"/>
          <w:rFonts w:hint="eastAsia"/>
        </w:rPr>
        <w:t>收费项目与标准</w:t>
      </w:r>
      <w:r>
        <w:tab/>
      </w:r>
      <w:r>
        <w:fldChar w:fldCharType="begin"/>
      </w:r>
      <w:r>
        <w:instrText xml:space="preserve"> PAGEREF _Toc50730309 \h </w:instrText>
      </w:r>
      <w:r>
        <w:fldChar w:fldCharType="separate"/>
      </w:r>
      <w:r>
        <w:t>2</w:t>
      </w:r>
      <w:r>
        <w:fldChar w:fldCharType="end"/>
      </w:r>
      <w:r>
        <w:fldChar w:fldCharType="end"/>
      </w:r>
    </w:p>
    <w:p>
      <w:pPr>
        <w:pStyle w:val="12"/>
        <w:pageBreakBefore w:val="0"/>
        <w:widowControl/>
        <w:tabs>
          <w:tab w:val="right" w:leader="dot" w:pos="8302"/>
        </w:tabs>
        <w:kinsoku/>
        <w:wordWrap/>
        <w:overflowPunct/>
        <w:topLinePunct w:val="0"/>
        <w:autoSpaceDE/>
        <w:autoSpaceDN/>
        <w:bidi w:val="0"/>
        <w:adjustRightInd/>
        <w:snapToGrid w:val="0"/>
        <w:spacing w:line="360" w:lineRule="auto"/>
        <w:textAlignment w:val="auto"/>
        <w:rPr>
          <w:kern w:val="2"/>
          <w:sz w:val="21"/>
        </w:rPr>
      </w:pPr>
      <w:r>
        <w:fldChar w:fldCharType="begin"/>
      </w:r>
      <w:r>
        <w:instrText xml:space="preserve"> HYPERLINK \l "_Toc50730310" </w:instrText>
      </w:r>
      <w:r>
        <w:fldChar w:fldCharType="separate"/>
      </w:r>
      <w:r>
        <w:rPr>
          <w:rStyle w:val="20"/>
        </w:rPr>
        <w:t>4.</w:t>
      </w:r>
      <w:r>
        <w:rPr>
          <w:rStyle w:val="20"/>
          <w:rFonts w:hint="eastAsia"/>
        </w:rPr>
        <w:t>收费方法</w:t>
      </w:r>
      <w:r>
        <w:tab/>
      </w:r>
      <w:r>
        <w:fldChar w:fldCharType="begin"/>
      </w:r>
      <w:r>
        <w:instrText xml:space="preserve"> PAGEREF _Toc50730310 \h </w:instrText>
      </w:r>
      <w:r>
        <w:fldChar w:fldCharType="separate"/>
      </w:r>
      <w:r>
        <w:t>2</w:t>
      </w:r>
      <w:r>
        <w:fldChar w:fldCharType="end"/>
      </w:r>
      <w:r>
        <w:fldChar w:fldCharType="end"/>
      </w:r>
    </w:p>
    <w:p>
      <w:pPr>
        <w:pStyle w:val="24"/>
        <w:pageBreakBefore w:val="0"/>
        <w:widowControl/>
        <w:kinsoku/>
        <w:wordWrap/>
        <w:overflowPunct/>
        <w:topLinePunct w:val="0"/>
        <w:autoSpaceDE/>
        <w:autoSpaceDN/>
        <w:bidi w:val="0"/>
        <w:adjustRightInd/>
        <w:snapToGrid w:val="0"/>
        <w:spacing w:line="360" w:lineRule="auto"/>
        <w:textAlignment w:val="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autoSpaceDE w:val="0"/>
        <w:autoSpaceDN w:val="0"/>
        <w:spacing w:line="0" w:lineRule="atLeast"/>
        <w:jc w:val="center"/>
        <w:rPr>
          <w:rFonts w:ascii="黑体" w:eastAsia="黑体"/>
          <w:sz w:val="36"/>
          <w:szCs w:val="36"/>
        </w:rPr>
      </w:pPr>
      <w:r>
        <w:rPr>
          <w:rFonts w:hint="eastAsia" w:ascii="黑体" w:eastAsia="黑体"/>
          <w:sz w:val="36"/>
          <w:szCs w:val="36"/>
        </w:rPr>
        <w:t>数据安全风险管理认证收费管理规则</w:t>
      </w:r>
    </w:p>
    <w:p>
      <w:pPr>
        <w:autoSpaceDE w:val="0"/>
        <w:autoSpaceDN w:val="0"/>
        <w:spacing w:line="0" w:lineRule="atLeast"/>
        <w:jc w:val="center"/>
        <w:rPr>
          <w:rFonts w:ascii="黑体" w:eastAsia="黑体"/>
          <w:sz w:val="36"/>
          <w:szCs w:val="36"/>
        </w:rPr>
      </w:pPr>
    </w:p>
    <w:p>
      <w:pPr>
        <w:pStyle w:val="2"/>
        <w:numPr>
          <w:ilvl w:val="0"/>
          <w:numId w:val="1"/>
        </w:numPr>
      </w:pPr>
      <w:bookmarkStart w:id="0" w:name="_Toc452364113"/>
      <w:bookmarkStart w:id="1" w:name="_Toc50730307"/>
      <w:r>
        <w:t>目的与使用范围</w:t>
      </w:r>
      <w:bookmarkEnd w:id="0"/>
      <w:bookmarkEnd w:id="1"/>
    </w:p>
    <w:p>
      <w:pPr>
        <w:spacing w:line="360" w:lineRule="auto"/>
        <w:ind w:firstLine="360" w:firstLineChars="150"/>
        <w:rPr>
          <w:rFonts w:hint="eastAsia" w:asciiTheme="minorEastAsia" w:hAnsiTheme="minorEastAsia" w:eastAsiaTheme="minorEastAsia"/>
          <w:sz w:val="24"/>
        </w:rPr>
      </w:pPr>
      <w:r>
        <w:rPr>
          <w:rFonts w:hint="eastAsia" w:asciiTheme="minorEastAsia" w:hAnsiTheme="minorEastAsia" w:eastAsiaTheme="minorEastAsia"/>
          <w:sz w:val="24"/>
        </w:rPr>
        <w:t>为加强对认证组织认证收费的管理，规范认证收费行为，保护认证双方的利益，促进认证工作的发展，特制订本规则。</w:t>
      </w:r>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本规则适用于方圆标志认证集团所开展的数据安全风险管理认证</w:t>
      </w:r>
      <w:r>
        <w:rPr>
          <w:rFonts w:asciiTheme="minorEastAsia" w:hAnsiTheme="minorEastAsia" w:eastAsiaTheme="minorEastAsia"/>
          <w:sz w:val="24"/>
        </w:rPr>
        <w:t>服务收费。</w:t>
      </w:r>
    </w:p>
    <w:p>
      <w:pPr>
        <w:spacing w:line="360" w:lineRule="auto"/>
        <w:ind w:firstLine="480" w:firstLineChars="200"/>
        <w:rPr>
          <w:rFonts w:asciiTheme="minorEastAsia" w:hAnsiTheme="minorEastAsia" w:eastAsiaTheme="minorEastAsia"/>
          <w:sz w:val="24"/>
        </w:rPr>
      </w:pPr>
    </w:p>
    <w:p>
      <w:pPr>
        <w:pStyle w:val="2"/>
        <w:numPr>
          <w:ilvl w:val="0"/>
          <w:numId w:val="1"/>
        </w:numPr>
      </w:pPr>
      <w:bookmarkStart w:id="2" w:name="_Toc50730308"/>
      <w:bookmarkStart w:id="3" w:name="_Toc452364114"/>
      <w:r>
        <w:t>基本原则</w:t>
      </w:r>
      <w:bookmarkEnd w:id="2"/>
      <w:bookmarkEnd w:id="3"/>
    </w:p>
    <w:p>
      <w:pPr>
        <w:spacing w:line="360" w:lineRule="auto"/>
        <w:ind w:firstLine="480" w:firstLineChars="200"/>
        <w:rPr>
          <w:rFonts w:asciiTheme="minorEastAsia" w:hAnsiTheme="minorEastAsia" w:eastAsiaTheme="minorEastAsia"/>
          <w:i/>
          <w:iCs/>
          <w:sz w:val="24"/>
        </w:rPr>
      </w:pPr>
      <w:r>
        <w:rPr>
          <w:rFonts w:hint="eastAsia" w:asciiTheme="minorEastAsia" w:hAnsiTheme="minorEastAsia" w:eastAsiaTheme="minorEastAsia"/>
          <w:sz w:val="24"/>
        </w:rPr>
        <w:t>收费项目和标准按照国家有关主管部门的规定制订。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认证审核的工作量（人日数）根据申请认证组织的规模、认证领域数量和专业特性等按国际准则及国家主管部门有关要求确定。</w:t>
      </w:r>
    </w:p>
    <w:p>
      <w:pPr>
        <w:spacing w:line="360" w:lineRule="auto"/>
        <w:ind w:firstLine="480" w:firstLineChars="200"/>
        <w:rPr>
          <w:rFonts w:asciiTheme="minorEastAsia" w:hAnsiTheme="minorEastAsia" w:eastAsiaTheme="minorEastAsia"/>
          <w:sz w:val="24"/>
        </w:rPr>
      </w:pPr>
    </w:p>
    <w:p>
      <w:pPr>
        <w:pStyle w:val="2"/>
        <w:numPr>
          <w:ilvl w:val="0"/>
          <w:numId w:val="1"/>
        </w:numPr>
      </w:pPr>
      <w:bookmarkStart w:id="4" w:name="_Toc452364115"/>
      <w:bookmarkStart w:id="5" w:name="_Toc50730309"/>
      <w:r>
        <w:t>收费项目与标准</w:t>
      </w:r>
      <w:bookmarkEnd w:id="4"/>
      <w:bookmarkEnd w:id="5"/>
    </w:p>
    <w:p>
      <w:pPr>
        <w:spacing w:line="360" w:lineRule="auto"/>
        <w:rPr>
          <w:rFonts w:hint="eastAsia" w:asciiTheme="minorEastAsia" w:hAnsiTheme="minorEastAsia" w:eastAsiaTheme="minorEastAsia"/>
          <w:sz w:val="24"/>
        </w:rPr>
      </w:pPr>
      <w:r>
        <w:rPr>
          <w:rFonts w:hint="eastAsia" w:asciiTheme="minorEastAsia" w:hAnsiTheme="minorEastAsia" w:eastAsiaTheme="minorEastAsia"/>
          <w:b w:val="0"/>
          <w:sz w:val="24"/>
        </w:rPr>
        <w:t xml:space="preserve">3.1 </w:t>
      </w:r>
      <w:r>
        <w:rPr>
          <w:rFonts w:hint="eastAsia" w:asciiTheme="minorEastAsia" w:hAnsiTheme="minorEastAsia" w:eastAsiaTheme="minorEastAsia"/>
          <w:sz w:val="24"/>
        </w:rPr>
        <w:t>数据安全风险管理认证费用包括认证费和检测费。</w:t>
      </w:r>
    </w:p>
    <w:p>
      <w:pPr>
        <w:spacing w:line="360" w:lineRule="auto"/>
        <w:rPr>
          <w:rFonts w:hint="eastAsia" w:asciiTheme="minorEastAsia" w:hAnsiTheme="minorEastAsia" w:eastAsiaTheme="minorEastAsia"/>
          <w:sz w:val="24"/>
        </w:rPr>
      </w:pPr>
      <w:r>
        <w:rPr>
          <w:rFonts w:hint="eastAsia" w:asciiTheme="minorEastAsia" w:hAnsiTheme="minorEastAsia" w:eastAsiaTheme="minorEastAsia"/>
          <w:sz w:val="24"/>
        </w:rPr>
        <w:t>3.2 数据安全风险管理认证费用一次性收取165000元（费用明细见下表）。</w:t>
      </w:r>
    </w:p>
    <w:tbl>
      <w:tblPr>
        <w:tblStyle w:val="16"/>
        <w:tblW w:w="8931"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2"/>
        <w:gridCol w:w="936"/>
        <w:gridCol w:w="2556"/>
        <w:gridCol w:w="2916"/>
        <w:gridCol w:w="18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序号</w:t>
            </w:r>
          </w:p>
        </w:tc>
        <w:tc>
          <w:tcPr>
            <w:tcW w:w="3492" w:type="dxa"/>
            <w:gridSpan w:val="2"/>
            <w:tcBorders>
              <w:top w:val="single" w:color="auto" w:sz="4" w:space="0"/>
              <w:left w:val="single" w:color="auto" w:sz="4" w:space="0"/>
              <w:bottom w:val="single" w:color="auto" w:sz="4" w:space="0"/>
              <w:right w:val="single" w:color="auto" w:sz="4" w:space="0"/>
            </w:tcBorders>
          </w:tcPr>
          <w:p>
            <w:pPr>
              <w:spacing w:line="360" w:lineRule="auto"/>
              <w:ind w:right="0" w:rightChars="0"/>
              <w:jc w:val="center"/>
              <w:rPr>
                <w:rFonts w:ascii="宋体" w:hAnsi="宋体"/>
                <w:sz w:val="18"/>
                <w:szCs w:val="18"/>
                <w:highlight w:val="yellow"/>
              </w:rPr>
            </w:pPr>
            <w:r>
              <w:rPr>
                <w:rFonts w:hint="eastAsia" w:ascii="宋体" w:hAnsi="宋体"/>
                <w:sz w:val="18"/>
                <w:szCs w:val="18"/>
                <w:highlight w:val="yellow"/>
              </w:rPr>
              <w:t>收费项目</w:t>
            </w:r>
          </w:p>
        </w:tc>
        <w:tc>
          <w:tcPr>
            <w:tcW w:w="2916" w:type="dxa"/>
            <w:tcBorders>
              <w:top w:val="single" w:color="auto" w:sz="4" w:space="0"/>
              <w:left w:val="single" w:color="auto" w:sz="4" w:space="0"/>
              <w:right w:val="single" w:color="auto" w:sz="4" w:space="0"/>
            </w:tcBorders>
            <w:vAlign w:val="center"/>
          </w:tcPr>
          <w:p>
            <w:pPr>
              <w:spacing w:line="360" w:lineRule="auto"/>
              <w:ind w:firstLine="180" w:firstLineChars="100"/>
              <w:jc w:val="center"/>
              <w:rPr>
                <w:rFonts w:ascii="宋体" w:hAnsi="宋体"/>
                <w:sz w:val="18"/>
                <w:szCs w:val="18"/>
                <w:highlight w:val="yellow"/>
              </w:rPr>
            </w:pPr>
            <w:r>
              <w:rPr>
                <w:rFonts w:hint="eastAsia" w:ascii="宋体" w:hAnsi="宋体"/>
                <w:sz w:val="18"/>
                <w:szCs w:val="18"/>
                <w:highlight w:val="yellow"/>
              </w:rPr>
              <w:t>收</w:t>
            </w:r>
            <w:r>
              <w:rPr>
                <w:rFonts w:ascii="宋体" w:hAnsi="宋体"/>
                <w:sz w:val="18"/>
                <w:szCs w:val="18"/>
                <w:highlight w:val="yellow"/>
              </w:rPr>
              <w:t>费标准（单位：元</w:t>
            </w:r>
            <w:r>
              <w:rPr>
                <w:rFonts w:hint="eastAsia" w:ascii="宋体" w:hAnsi="宋体"/>
                <w:sz w:val="18"/>
                <w:szCs w:val="18"/>
                <w:highlight w:val="yellow"/>
              </w:rPr>
              <w:t>（RMB）</w:t>
            </w:r>
            <w:r>
              <w:rPr>
                <w:rFonts w:ascii="宋体" w:hAnsi="宋体"/>
                <w:sz w:val="18"/>
                <w:szCs w:val="18"/>
                <w:highlight w:val="yellow"/>
              </w:rPr>
              <w:t>）</w:t>
            </w:r>
          </w:p>
        </w:tc>
        <w:tc>
          <w:tcPr>
            <w:tcW w:w="1811" w:type="dxa"/>
            <w:tcBorders>
              <w:top w:val="single" w:color="auto" w:sz="4" w:space="0"/>
              <w:left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备</w:t>
            </w:r>
            <w:r>
              <w:rPr>
                <w:rFonts w:ascii="宋体" w:hAnsi="宋体"/>
                <w:sz w:val="18"/>
                <w:szCs w:val="18"/>
                <w:highlight w:val="yellow"/>
              </w:rPr>
              <w:t xml:space="preserve">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9" w:hRule="atLeast"/>
        </w:trPr>
        <w:tc>
          <w:tcPr>
            <w:tcW w:w="712" w:type="dxa"/>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spacing w:val="-20"/>
                <w:w w:val="90"/>
                <w:highlight w:val="yellow"/>
              </w:rPr>
            </w:pPr>
            <w:r>
              <w:rPr>
                <w:rFonts w:hint="eastAsia" w:ascii="宋体" w:hAnsi="宋体"/>
                <w:spacing w:val="-20"/>
                <w:w w:val="90"/>
                <w:highlight w:val="yellow"/>
              </w:rPr>
              <w:t>1</w:t>
            </w:r>
          </w:p>
        </w:tc>
        <w:tc>
          <w:tcPr>
            <w:tcW w:w="936" w:type="dxa"/>
            <w:vMerge w:val="restart"/>
            <w:tcBorders>
              <w:top w:val="single" w:color="auto" w:sz="4" w:space="0"/>
              <w:left w:val="single" w:color="auto" w:sz="4" w:space="0"/>
              <w:right w:val="single" w:color="auto" w:sz="4" w:space="0"/>
            </w:tcBorders>
            <w:vAlign w:val="center"/>
          </w:tcPr>
          <w:p>
            <w:pPr>
              <w:spacing w:line="360" w:lineRule="auto"/>
              <w:jc w:val="center"/>
              <w:rPr>
                <w:rFonts w:hint="eastAsia" w:ascii="宋体" w:hAnsi="宋体"/>
                <w:sz w:val="18"/>
                <w:szCs w:val="18"/>
                <w:highlight w:val="yellow"/>
              </w:rPr>
            </w:pPr>
            <w:r>
              <w:rPr>
                <w:rFonts w:hint="eastAsia" w:ascii="宋体" w:hAnsi="宋体"/>
                <w:sz w:val="18"/>
                <w:szCs w:val="18"/>
                <w:highlight w:val="yellow"/>
              </w:rPr>
              <w:t>认证费</w:t>
            </w:r>
          </w:p>
          <w:p>
            <w:pPr>
              <w:spacing w:line="360" w:lineRule="auto"/>
              <w:jc w:val="center"/>
              <w:rPr>
                <w:rFonts w:hint="eastAsia" w:ascii="宋体" w:hAnsi="宋体"/>
                <w:sz w:val="18"/>
                <w:szCs w:val="18"/>
                <w:highlight w:val="yellow"/>
              </w:rPr>
            </w:pPr>
            <w:r>
              <w:rPr>
                <w:rFonts w:hint="eastAsia" w:ascii="宋体" w:hAnsi="宋体"/>
                <w:sz w:val="18"/>
                <w:szCs w:val="18"/>
                <w:highlight w:val="yellow"/>
              </w:rPr>
              <w:t>（三年）</w:t>
            </w:r>
          </w:p>
        </w:tc>
        <w:tc>
          <w:tcPr>
            <w:tcW w:w="25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申</w:t>
            </w:r>
            <w:r>
              <w:rPr>
                <w:rFonts w:ascii="宋体" w:hAnsi="宋体"/>
                <w:sz w:val="18"/>
                <w:szCs w:val="18"/>
                <w:highlight w:val="yellow"/>
              </w:rPr>
              <w:t>请费</w:t>
            </w:r>
          </w:p>
        </w:tc>
        <w:tc>
          <w:tcPr>
            <w:tcW w:w="29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2</w:t>
            </w:r>
            <w:r>
              <w:rPr>
                <w:rFonts w:ascii="宋体" w:hAnsi="宋体"/>
                <w:sz w:val="18"/>
                <w:szCs w:val="18"/>
                <w:highlight w:val="yellow"/>
              </w:rPr>
              <w:t>000</w:t>
            </w:r>
          </w:p>
        </w:tc>
        <w:tc>
          <w:tcPr>
            <w:tcW w:w="1811" w:type="dxa"/>
            <w:vMerge w:val="restart"/>
            <w:tcBorders>
              <w:top w:val="single" w:color="auto" w:sz="4" w:space="0"/>
              <w:left w:val="single" w:color="auto" w:sz="4" w:space="0"/>
              <w:right w:val="single" w:color="auto" w:sz="4" w:space="0"/>
            </w:tcBorders>
            <w:vAlign w:val="center"/>
          </w:tcPr>
          <w:p>
            <w:pPr>
              <w:spacing w:line="360" w:lineRule="auto"/>
              <w:ind w:left="-109" w:leftChars="-52"/>
              <w:jc w:val="both"/>
              <w:rPr>
                <w:rFonts w:ascii="宋体" w:hAnsi="宋体"/>
                <w:sz w:val="18"/>
                <w:szCs w:val="18"/>
                <w:highlight w:val="yellow"/>
              </w:rPr>
            </w:pPr>
            <w:r>
              <w:rPr>
                <w:rFonts w:hint="eastAsia" w:ascii="宋体" w:hAnsi="宋体"/>
                <w:sz w:val="18"/>
                <w:szCs w:val="18"/>
                <w:highlight w:val="yellow"/>
              </w:rPr>
              <w:t>证书副本及子证书每张收费50元</w:t>
            </w:r>
          </w:p>
          <w:p>
            <w:pPr>
              <w:spacing w:line="360" w:lineRule="auto"/>
              <w:ind w:left="-109" w:leftChars="-52"/>
              <w:jc w:val="both"/>
              <w:rPr>
                <w:rFonts w:ascii="宋体" w:hAnsi="宋体"/>
                <w:spacing w:val="-20"/>
                <w:w w:val="90"/>
                <w:highlight w:val="yellow"/>
              </w:rPr>
            </w:pPr>
            <w:r>
              <w:rPr>
                <w:rFonts w:hint="eastAsia" w:ascii="宋体" w:hAnsi="宋体"/>
                <w:sz w:val="18"/>
                <w:szCs w:val="18"/>
                <w:highlight w:val="yellow"/>
              </w:rPr>
              <w:t>补发证书及证书变更每张收费50元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trPr>
        <w:tc>
          <w:tcPr>
            <w:tcW w:w="712" w:type="dxa"/>
            <w:vMerge w:val="continue"/>
            <w:tcBorders>
              <w:left w:val="single" w:color="auto" w:sz="4" w:space="0"/>
              <w:right w:val="single" w:color="auto" w:sz="4" w:space="0"/>
            </w:tcBorders>
            <w:vAlign w:val="center"/>
          </w:tcPr>
          <w:p>
            <w:pPr>
              <w:spacing w:line="360" w:lineRule="auto"/>
              <w:jc w:val="center"/>
              <w:rPr>
                <w:rFonts w:ascii="宋体" w:hAnsi="宋体"/>
                <w:spacing w:val="-20"/>
                <w:w w:val="90"/>
                <w:highlight w:val="yellow"/>
              </w:rPr>
            </w:pPr>
          </w:p>
        </w:tc>
        <w:tc>
          <w:tcPr>
            <w:tcW w:w="936" w:type="dxa"/>
            <w:vMerge w:val="continue"/>
            <w:tcBorders>
              <w:left w:val="single" w:color="auto" w:sz="4" w:space="0"/>
              <w:right w:val="single" w:color="auto" w:sz="4" w:space="0"/>
            </w:tcBorders>
          </w:tcPr>
          <w:p>
            <w:pPr>
              <w:spacing w:line="360" w:lineRule="auto"/>
              <w:jc w:val="center"/>
              <w:rPr>
                <w:rFonts w:hint="eastAsia" w:ascii="宋体" w:hAnsi="宋体"/>
                <w:sz w:val="18"/>
                <w:szCs w:val="18"/>
                <w:highlight w:val="yellow"/>
              </w:rPr>
            </w:pPr>
          </w:p>
        </w:tc>
        <w:tc>
          <w:tcPr>
            <w:tcW w:w="25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审</w:t>
            </w:r>
            <w:r>
              <w:rPr>
                <w:rFonts w:ascii="宋体" w:hAnsi="宋体"/>
                <w:sz w:val="18"/>
                <w:szCs w:val="18"/>
                <w:highlight w:val="yellow"/>
              </w:rPr>
              <w:t>核费</w:t>
            </w:r>
          </w:p>
        </w:tc>
        <w:tc>
          <w:tcPr>
            <w:tcW w:w="29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40000</w:t>
            </w:r>
          </w:p>
        </w:tc>
        <w:tc>
          <w:tcPr>
            <w:tcW w:w="1811" w:type="dxa"/>
            <w:vMerge w:val="continue"/>
            <w:tcBorders>
              <w:left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trPr>
        <w:tc>
          <w:tcPr>
            <w:tcW w:w="712"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highlight w:val="yellow"/>
              </w:rPr>
            </w:pPr>
          </w:p>
        </w:tc>
        <w:tc>
          <w:tcPr>
            <w:tcW w:w="936" w:type="dxa"/>
            <w:vMerge w:val="continue"/>
            <w:tcBorders>
              <w:left w:val="single" w:color="auto" w:sz="4" w:space="0"/>
              <w:bottom w:val="single" w:color="auto" w:sz="4" w:space="0"/>
              <w:right w:val="single" w:color="auto" w:sz="4" w:space="0"/>
            </w:tcBorders>
          </w:tcPr>
          <w:p>
            <w:pPr>
              <w:spacing w:line="360" w:lineRule="auto"/>
              <w:jc w:val="center"/>
              <w:rPr>
                <w:rFonts w:hint="eastAsia" w:ascii="宋体" w:hAnsi="宋体"/>
                <w:sz w:val="18"/>
                <w:szCs w:val="18"/>
                <w:highlight w:val="yellow"/>
              </w:rPr>
            </w:pPr>
          </w:p>
        </w:tc>
        <w:tc>
          <w:tcPr>
            <w:tcW w:w="25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批准与注册费</w:t>
            </w:r>
            <w:r>
              <w:rPr>
                <w:rFonts w:ascii="宋体" w:hAnsi="宋体"/>
                <w:sz w:val="18"/>
                <w:szCs w:val="18"/>
                <w:highlight w:val="yellow"/>
              </w:rPr>
              <w:t>（含证书费）</w:t>
            </w:r>
          </w:p>
        </w:tc>
        <w:tc>
          <w:tcPr>
            <w:tcW w:w="29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8</w:t>
            </w:r>
            <w:r>
              <w:rPr>
                <w:rFonts w:ascii="宋体" w:hAnsi="宋体"/>
                <w:sz w:val="18"/>
                <w:szCs w:val="18"/>
                <w:highlight w:val="yellow"/>
              </w:rPr>
              <w:t>000</w:t>
            </w:r>
          </w:p>
        </w:tc>
        <w:tc>
          <w:tcPr>
            <w:tcW w:w="1811" w:type="dxa"/>
            <w:vMerge w:val="continue"/>
            <w:tcBorders>
              <w:left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highlight w:val="yellow"/>
              </w:rPr>
            </w:pPr>
            <w:r>
              <w:rPr>
                <w:rFonts w:hint="eastAsia" w:ascii="宋体" w:hAnsi="宋体"/>
                <w:spacing w:val="-20"/>
                <w:w w:val="90"/>
                <w:highlight w:val="yellow"/>
              </w:rPr>
              <w:t>2</w:t>
            </w:r>
          </w:p>
        </w:tc>
        <w:tc>
          <w:tcPr>
            <w:tcW w:w="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 w:val="18"/>
                <w:szCs w:val="18"/>
                <w:highlight w:val="yellow"/>
              </w:rPr>
            </w:pPr>
            <w:r>
              <w:rPr>
                <w:rFonts w:hint="eastAsia" w:ascii="宋体" w:hAnsi="宋体"/>
                <w:sz w:val="18"/>
                <w:szCs w:val="18"/>
                <w:highlight w:val="yellow"/>
              </w:rPr>
              <w:t>检测费</w:t>
            </w:r>
          </w:p>
        </w:tc>
        <w:tc>
          <w:tcPr>
            <w:tcW w:w="54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highlight w:val="yellow"/>
              </w:rPr>
            </w:pPr>
            <w:r>
              <w:rPr>
                <w:rFonts w:hint="eastAsia" w:ascii="宋体" w:hAnsi="宋体"/>
                <w:sz w:val="18"/>
                <w:szCs w:val="18"/>
                <w:highlight w:val="yellow"/>
              </w:rPr>
              <w:t>115000</w:t>
            </w:r>
          </w:p>
        </w:tc>
        <w:tc>
          <w:tcPr>
            <w:tcW w:w="1811" w:type="dxa"/>
            <w:vMerge w:val="continue"/>
            <w:tcBorders>
              <w:left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164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 w:val="18"/>
                <w:szCs w:val="18"/>
                <w:highlight w:val="yellow"/>
              </w:rPr>
            </w:pPr>
            <w:r>
              <w:rPr>
                <w:rFonts w:hint="eastAsia" w:ascii="宋体" w:hAnsi="宋体"/>
                <w:sz w:val="18"/>
                <w:szCs w:val="18"/>
                <w:highlight w:val="yellow"/>
              </w:rPr>
              <w:t>共计</w:t>
            </w:r>
          </w:p>
        </w:tc>
        <w:tc>
          <w:tcPr>
            <w:tcW w:w="54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 w:val="18"/>
                <w:szCs w:val="18"/>
                <w:highlight w:val="yellow"/>
              </w:rPr>
            </w:pPr>
            <w:r>
              <w:rPr>
                <w:rFonts w:hint="eastAsia" w:ascii="宋体" w:hAnsi="宋体"/>
                <w:sz w:val="18"/>
                <w:szCs w:val="18"/>
                <w:highlight w:val="yellow"/>
              </w:rPr>
              <w:t>165000</w:t>
            </w:r>
          </w:p>
        </w:tc>
        <w:tc>
          <w:tcPr>
            <w:tcW w:w="1811" w:type="dxa"/>
            <w:vMerge w:val="continue"/>
            <w:tcBorders>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bl>
    <w:p>
      <w:pPr>
        <w:pStyle w:val="2"/>
        <w:rPr>
          <w:rFonts w:ascii="宋体" w:hAnsi="宋体"/>
        </w:rPr>
      </w:pPr>
    </w:p>
    <w:p>
      <w:pPr>
        <w:pStyle w:val="2"/>
        <w:numPr>
          <w:ilvl w:val="0"/>
          <w:numId w:val="1"/>
        </w:numPr>
      </w:pPr>
      <w:bookmarkStart w:id="6" w:name="_Toc50730310"/>
      <w:bookmarkStart w:id="7" w:name="_Toc452364118"/>
      <w:r>
        <w:t>收费方法</w:t>
      </w:r>
      <w:bookmarkEnd w:id="6"/>
      <w:bookmarkEnd w:id="7"/>
      <w:bookmarkStart w:id="9" w:name="_GoBack"/>
      <w:bookmarkEnd w:id="9"/>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申请人向CQM提出认证申请时支付</w:t>
      </w:r>
      <w:r>
        <w:rPr>
          <w:rFonts w:hint="eastAsia" w:asciiTheme="minorEastAsia" w:hAnsiTheme="minorEastAsia" w:eastAsiaTheme="minorEastAsia"/>
          <w:sz w:val="24"/>
        </w:rPr>
        <w:t>所有</w:t>
      </w:r>
      <w:r>
        <w:rPr>
          <w:rFonts w:asciiTheme="minorEastAsia" w:hAnsiTheme="minorEastAsia" w:eastAsiaTheme="minorEastAsia"/>
          <w:sz w:val="24"/>
        </w:rPr>
        <w:t>费用。</w:t>
      </w:r>
    </w:p>
    <w:sectPr>
      <w:headerReference r:id="rId5" w:type="first"/>
      <w:headerReference r:id="rId3" w:type="default"/>
      <w:footerReference r:id="rId6" w:type="default"/>
      <w:headerReference r:id="rId4" w:type="even"/>
      <w:pgSz w:w="11906" w:h="16838"/>
      <w:pgMar w:top="856" w:right="1797" w:bottom="1440" w:left="1797" w:header="567" w:footer="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电话：</w:t>
          </w:r>
        </w:p>
        <w:p>
          <w:pPr>
            <w:pStyle w:val="10"/>
            <w:ind w:left="-108"/>
            <w:jc w:val="both"/>
          </w:pPr>
          <w:r>
            <w:rPr>
              <w:rFonts w:hint="eastAsia"/>
            </w:rPr>
            <w:t>传真：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文件编号：</w:t>
          </w:r>
        </w:p>
        <w:p>
          <w:pPr>
            <w:pStyle w:val="10"/>
            <w:jc w:val="both"/>
          </w:pPr>
          <w:r>
            <w:rPr>
              <w:rFonts w:hint="eastAsia"/>
            </w:rPr>
            <w:t>发布日期：</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CQM/S-GK-00</w:t>
          </w:r>
          <w:r>
            <w:rPr>
              <w:rFonts w:hint="eastAsia"/>
            </w:rPr>
            <w:t>3-（13）</w:t>
          </w:r>
        </w:p>
        <w:p>
          <w:pPr>
            <w:pStyle w:val="10"/>
            <w:jc w:val="both"/>
          </w:pPr>
          <w:r>
            <w:rPr>
              <w:rFonts w:hint="eastAsia"/>
            </w:rPr>
            <w:t>2021年10月27日</w:t>
          </w:r>
        </w:p>
        <w:p>
          <w:pPr>
            <w:pStyle w:val="10"/>
            <w:jc w:val="both"/>
            <w:rPr>
              <w:rFonts w:hint="default" w:eastAsia="宋体"/>
              <w:lang w:val="en-US" w:eastAsia="zh-CN"/>
            </w:rPr>
          </w:pPr>
          <w:r>
            <w:rPr>
              <w:rFonts w:hint="eastAsia"/>
              <w:lang w:val="en-US" w:eastAsia="zh-CN"/>
            </w:rPr>
            <w:t>2022年03月18日</w:t>
          </w:r>
        </w:p>
        <w:p>
          <w:pPr>
            <w:pStyle w:val="10"/>
            <w:jc w:val="both"/>
          </w:pPr>
          <w:r>
            <w:rPr>
              <w:rFonts w:hint="eastAsia"/>
            </w:rPr>
            <w:t>20</w:t>
          </w:r>
          <w:r>
            <w:rPr>
              <w:rFonts w:hint="eastAsia"/>
              <w:lang w:val="en-US" w:eastAsia="zh-CN"/>
            </w:rPr>
            <w:t>22</w:t>
          </w:r>
          <w:r>
            <w:rPr>
              <w:rFonts w:hint="eastAsia"/>
            </w:rPr>
            <w:t>年</w:t>
          </w:r>
          <w:r>
            <w:rPr>
              <w:rFonts w:hint="eastAsia"/>
              <w:lang w:val="en-US" w:eastAsia="zh-CN"/>
            </w:rPr>
            <w:t>03</w:t>
          </w:r>
          <w:r>
            <w:rPr>
              <w:rFonts w:hint="eastAsia"/>
            </w:rPr>
            <w:t>月</w:t>
          </w:r>
          <w:r>
            <w:rPr>
              <w:rFonts w:hint="eastAsia"/>
              <w:lang w:val="en-US" w:eastAsia="zh-CN"/>
            </w:rPr>
            <w:t>18</w:t>
          </w:r>
          <w:r>
            <w:rPr>
              <w:rFonts w:hint="eastAsia"/>
            </w:rPr>
            <w:t>日</w:t>
          </w:r>
        </w:p>
        <w:p>
          <w:pPr>
            <w:pStyle w:val="10"/>
            <w:jc w:val="both"/>
          </w:pPr>
          <w:r>
            <w:rPr>
              <w:rFonts w:hint="eastAsia"/>
            </w:rPr>
            <w:t>第</w:t>
          </w:r>
          <w:r>
            <w:fldChar w:fldCharType="begin"/>
          </w:r>
          <w:r>
            <w:rPr>
              <w:rStyle w:val="18"/>
            </w:rPr>
            <w:instrText xml:space="preserve"> PAGE </w:instrText>
          </w:r>
          <w:r>
            <w:fldChar w:fldCharType="separate"/>
          </w:r>
          <w:r>
            <w:rPr>
              <w:rStyle w:val="18"/>
            </w:rPr>
            <w:t>2</w:t>
          </w:r>
          <w:r>
            <w:fldChar w:fldCharType="end"/>
          </w:r>
          <w:r>
            <w:rPr>
              <w:rFonts w:hint="eastAsia"/>
            </w:rPr>
            <w:t xml:space="preserve"> </w:t>
          </w:r>
          <w:r>
            <w:rPr>
              <w:rStyle w:val="18"/>
              <w:rFonts w:hint="eastAsia"/>
            </w:rPr>
            <w:t>页共 2页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vAlign w:val="center"/>
        </w:tcPr>
        <w:p>
          <w:pPr>
            <w:pStyle w:val="11"/>
            <w:pBdr>
              <w:bottom w:val="none" w:color="auto" w:sz="0" w:space="0"/>
            </w:pBdr>
            <w:ind w:firstLine="1" w:firstLineChars="1"/>
            <w:jc w:val="both"/>
          </w:pPr>
          <w:r>
            <mc:AlternateContent>
              <mc:Choice Requires="wps">
                <w:drawing>
                  <wp:anchor distT="0" distB="0" distL="114300" distR="114300" simplePos="0" relativeHeight="251663360" behindDoc="0" locked="0" layoutInCell="1" allowOverlap="1">
                    <wp:simplePos x="0" y="0"/>
                    <wp:positionH relativeFrom="column">
                      <wp:posOffset>4525010</wp:posOffset>
                    </wp:positionH>
                    <wp:positionV relativeFrom="paragraph">
                      <wp:posOffset>8890</wp:posOffset>
                    </wp:positionV>
                    <wp:extent cx="914400" cy="422275"/>
                    <wp:effectExtent l="635" t="0" r="0" b="0"/>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914400" cy="422275"/>
                            </a:xfrm>
                            <a:prstGeom prst="rect">
                              <a:avLst/>
                            </a:prstGeom>
                            <a:noFill/>
                            <a:ln>
                              <a:noFill/>
                            </a:ln>
                          </wps:spPr>
                          <wps:txbx>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356.3pt;margin-top:0.7pt;height:33.25pt;width:72pt;z-index:251663360;mso-width-relative:page;mso-height-relative:page;" filled="f" stroked="f" coordsize="21600,21600" o:gfxdata="UEsDBAoAAAAAAIdO4kAAAAAAAAAAAAAAAAAEAAAAZHJzL1BLAwQUAAAACACHTuJAFcvAjNcAAAAI&#10;AQAADwAAAGRycy9kb3ducmV2LnhtbE2Py07DMBBF90j9B2sqsaN2KnDbEKdCCFZIiDQsWDqxm1iN&#10;xyF2H/w9w6osr87VnTPF9uIHdrJTdAEVZAsBzGIbjMNOwWf9ercGFpNGo4eAVsGPjbAtZzeFzk04&#10;Y2VPu9QxGsGYawV9SmPOeWx763VchNEisX2YvE4Up46bSZ9p3A98KYTkXjukC70e7XNv28Pu6BU8&#10;fWH14r7fm49qX7m63gh8kwelbueZeASW7CVdy/CnT+pQklMTjmgiGxSssqWkKoF7YMTXD5Jyo0Cu&#10;NsDLgv9/oPwFUEsDBBQAAAAIAIdO4kCCmccZ/AEAAAMEAAAOAAAAZHJzL2Uyb0RvYy54bWytU8Fu&#10;2zAMvQ/YPwi6L06MbN2MOkXXoMOAbh3Q7gMYWY6FWaJGKbGzrx8lJ1nXXXrYxaAp6vG9R+ryarS9&#10;2GsKBl0tF7O5FNopbIzb1vL74+2b91KECK6BHp2u5UEHebV6/epy8JUuscO+0SQYxIVq8LXsYvRV&#10;UQTVaQthhl47PmyRLET+pW3REAyMbvuinM/fFQNS4wmVDoGz6+lQHhHpJYDYtkbpNaqd1S5OqKR7&#10;iCwpdMYHucps21areN+2QUfR15KVxvzlJhxv0rdYXUK1JfCdUUcK8BIKzzRZMI6bnqHWEEHsyPwD&#10;ZY0iDNjGmUJbTEKyI6xiMX/mzUMHXmctbHXwZ9PD/4NVX/ffSJimlqUUDiwP/FGPUXzEUVwkdwYf&#10;Ki568FwWR07zzmSlwd+h+hGEw5sO3FZfE+HQaWiY3SLdLJ5cnXBCAtkMX7DhNrCLmIHGlmyyjs0Q&#10;jM6TOZwnk6goTn5YLJdzPlF8tCzL8uJt7gDV6bKnED9ptCIFtSQefAaH/V2IiQxUp5LUy+Gt6fs8&#10;/N79leDClMnkE9+JeRw349GMDTYHlkE47RK/JA46pF9SDLxHtQw/d0Baiv6zYyvS0p0COgWbUwBO&#10;8dVaRimm8CZOy7nzZLYdI09mO7xmu1qTpSRfJxZHnrwbWeFxj9PyPf3PVX/e7u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cvAjNcAAAAIAQAADwAAAAAAAAABACAAAAAiAAAAZHJzL2Rvd25yZXYu&#10;eG1sUEsBAhQAFAAAAAgAh07iQIKZxxn8AQAAAwQAAA4AAAAAAAAAAQAgAAAAJgEAAGRycy9lMm9E&#10;b2MueG1sUEsFBgAAAAAGAAYAWQEAAJQFAAAAAA==&#10;">
                    <v:fill on="f" focussize="0,0"/>
                    <v:stroke on="f"/>
                    <v:imagedata o:title=""/>
                    <o:lock v:ext="edit" aspectratio="f"/>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v:textbox>
                  </v:shape>
                </w:pict>
              </mc:Fallback>
            </mc:AlternateContent>
          </w:r>
          <w:r>
            <w:drawing>
              <wp:inline distT="0" distB="0" distL="0" distR="0">
                <wp:extent cx="2552700" cy="411480"/>
                <wp:effectExtent l="0" t="0" r="0" b="762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2"/>
                        <a:srcRect/>
                        <a:stretch>
                          <a:fillRect/>
                        </a:stretch>
                      </pic:blipFill>
                      <pic:spPr>
                        <a:xfrm>
                          <a:off x="0" y="0"/>
                          <a:ext cx="2552700" cy="411480"/>
                        </a:xfrm>
                        <a:prstGeom prst="rect">
                          <a:avLst/>
                        </a:prstGeom>
                        <a:noFill/>
                        <a:ln w="9525">
                          <a:noFill/>
                          <a:miter lim="800000"/>
                          <a:headEnd/>
                          <a:tailEnd/>
                        </a:ln>
                      </pic:spPr>
                    </pic:pic>
                  </a:graphicData>
                </a:graphic>
              </wp:inline>
            </w:drawing>
          </w:r>
        </w:p>
      </w:tc>
    </w:tr>
  </w:tbl>
  <w:p>
    <w:pPr>
      <w:jc w:val="left"/>
      <w:rPr>
        <w:sz w:val="10"/>
      </w:rPr>
    </w:pPr>
    <w:r>
      <w:pict>
        <v:shape id="WordPictureWatermark2731844" o:spid="_x0000_s2049" o:spt="75" type="#_x0000_t75" style="position:absolute;left:0pt;height:403.05pt;width:415.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3" gain="19661f" blacklevel="22938f" o:title="方圆标志"/>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WordPictureWatermark2731843" o:spid="_x0000_s2051" o:spt="75" type="#_x0000_t75" style="position:absolute;left:0pt;height:403.05pt;width:415.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9AA7AB"/>
    <w:multiLevelType w:val="singleLevel"/>
    <w:tmpl w:val="9F9AA7A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E4C"/>
    <w:rsid w:val="00017CA0"/>
    <w:rsid w:val="0006018F"/>
    <w:rsid w:val="00091D8F"/>
    <w:rsid w:val="000926C7"/>
    <w:rsid w:val="000B0E7F"/>
    <w:rsid w:val="000B33AA"/>
    <w:rsid w:val="000B3BA8"/>
    <w:rsid w:val="000B7C9E"/>
    <w:rsid w:val="000B7CAC"/>
    <w:rsid w:val="000C5C99"/>
    <w:rsid w:val="000D0F6A"/>
    <w:rsid w:val="000D5A9C"/>
    <w:rsid w:val="000F081B"/>
    <w:rsid w:val="001245A5"/>
    <w:rsid w:val="001262F2"/>
    <w:rsid w:val="00150F02"/>
    <w:rsid w:val="00153503"/>
    <w:rsid w:val="00176E56"/>
    <w:rsid w:val="00182940"/>
    <w:rsid w:val="001B5D56"/>
    <w:rsid w:val="001E3801"/>
    <w:rsid w:val="001F2B4B"/>
    <w:rsid w:val="001F385B"/>
    <w:rsid w:val="0021299C"/>
    <w:rsid w:val="002272B5"/>
    <w:rsid w:val="0023742C"/>
    <w:rsid w:val="00240647"/>
    <w:rsid w:val="00253F1F"/>
    <w:rsid w:val="00263C8A"/>
    <w:rsid w:val="002721E0"/>
    <w:rsid w:val="00284E8E"/>
    <w:rsid w:val="00294A0A"/>
    <w:rsid w:val="002B1B66"/>
    <w:rsid w:val="002C4E47"/>
    <w:rsid w:val="00315F19"/>
    <w:rsid w:val="003473AE"/>
    <w:rsid w:val="00397B23"/>
    <w:rsid w:val="003B3E82"/>
    <w:rsid w:val="003C662A"/>
    <w:rsid w:val="00437524"/>
    <w:rsid w:val="00445035"/>
    <w:rsid w:val="0046035F"/>
    <w:rsid w:val="004624CC"/>
    <w:rsid w:val="00480345"/>
    <w:rsid w:val="00481E4C"/>
    <w:rsid w:val="00482057"/>
    <w:rsid w:val="00487C8E"/>
    <w:rsid w:val="00492369"/>
    <w:rsid w:val="00495166"/>
    <w:rsid w:val="004B4E23"/>
    <w:rsid w:val="004C0897"/>
    <w:rsid w:val="004E5AC4"/>
    <w:rsid w:val="004F74EA"/>
    <w:rsid w:val="005159B3"/>
    <w:rsid w:val="00521C5E"/>
    <w:rsid w:val="0052780F"/>
    <w:rsid w:val="00546F80"/>
    <w:rsid w:val="00584C79"/>
    <w:rsid w:val="00597DDD"/>
    <w:rsid w:val="005B202F"/>
    <w:rsid w:val="005B2A57"/>
    <w:rsid w:val="005C16C8"/>
    <w:rsid w:val="005C6041"/>
    <w:rsid w:val="005F5374"/>
    <w:rsid w:val="005F7A30"/>
    <w:rsid w:val="00610324"/>
    <w:rsid w:val="00611E58"/>
    <w:rsid w:val="00626033"/>
    <w:rsid w:val="00630618"/>
    <w:rsid w:val="00635147"/>
    <w:rsid w:val="00656CBD"/>
    <w:rsid w:val="00657A5E"/>
    <w:rsid w:val="006640E0"/>
    <w:rsid w:val="00667D80"/>
    <w:rsid w:val="006727C3"/>
    <w:rsid w:val="006945AD"/>
    <w:rsid w:val="006B3CA7"/>
    <w:rsid w:val="006F0EF2"/>
    <w:rsid w:val="007008B2"/>
    <w:rsid w:val="00702703"/>
    <w:rsid w:val="0070496A"/>
    <w:rsid w:val="00745C44"/>
    <w:rsid w:val="00747D24"/>
    <w:rsid w:val="007A2516"/>
    <w:rsid w:val="007B245C"/>
    <w:rsid w:val="007B7F02"/>
    <w:rsid w:val="007C7534"/>
    <w:rsid w:val="008032AD"/>
    <w:rsid w:val="00832F0E"/>
    <w:rsid w:val="00833625"/>
    <w:rsid w:val="00847F78"/>
    <w:rsid w:val="00850AE4"/>
    <w:rsid w:val="00853254"/>
    <w:rsid w:val="0087435F"/>
    <w:rsid w:val="008D1B4B"/>
    <w:rsid w:val="008D3F7A"/>
    <w:rsid w:val="008F5520"/>
    <w:rsid w:val="00925DA2"/>
    <w:rsid w:val="00931015"/>
    <w:rsid w:val="00934B2F"/>
    <w:rsid w:val="009511A3"/>
    <w:rsid w:val="00960BE5"/>
    <w:rsid w:val="0097697B"/>
    <w:rsid w:val="009916F6"/>
    <w:rsid w:val="00994F8A"/>
    <w:rsid w:val="009A53A0"/>
    <w:rsid w:val="009B619D"/>
    <w:rsid w:val="009F654D"/>
    <w:rsid w:val="00A02378"/>
    <w:rsid w:val="00A03108"/>
    <w:rsid w:val="00A27B3D"/>
    <w:rsid w:val="00A30B31"/>
    <w:rsid w:val="00A3571C"/>
    <w:rsid w:val="00A363AA"/>
    <w:rsid w:val="00A40870"/>
    <w:rsid w:val="00A46CA4"/>
    <w:rsid w:val="00A53AA2"/>
    <w:rsid w:val="00A8196F"/>
    <w:rsid w:val="00A91A62"/>
    <w:rsid w:val="00A95D98"/>
    <w:rsid w:val="00AA3CF5"/>
    <w:rsid w:val="00AA73C6"/>
    <w:rsid w:val="00AB52D6"/>
    <w:rsid w:val="00AD0A34"/>
    <w:rsid w:val="00AD39B2"/>
    <w:rsid w:val="00AD3C44"/>
    <w:rsid w:val="00AF58D6"/>
    <w:rsid w:val="00AF6EF8"/>
    <w:rsid w:val="00B27667"/>
    <w:rsid w:val="00B305B7"/>
    <w:rsid w:val="00B40DCF"/>
    <w:rsid w:val="00B51CDD"/>
    <w:rsid w:val="00B52217"/>
    <w:rsid w:val="00B527F6"/>
    <w:rsid w:val="00B625A1"/>
    <w:rsid w:val="00B73819"/>
    <w:rsid w:val="00B84608"/>
    <w:rsid w:val="00B87033"/>
    <w:rsid w:val="00B90896"/>
    <w:rsid w:val="00BA0C40"/>
    <w:rsid w:val="00BB0049"/>
    <w:rsid w:val="00C22C88"/>
    <w:rsid w:val="00C23522"/>
    <w:rsid w:val="00C35188"/>
    <w:rsid w:val="00C47426"/>
    <w:rsid w:val="00C63288"/>
    <w:rsid w:val="00C76CAD"/>
    <w:rsid w:val="00C865E0"/>
    <w:rsid w:val="00CA657E"/>
    <w:rsid w:val="00CD0195"/>
    <w:rsid w:val="00CD5493"/>
    <w:rsid w:val="00CE54CA"/>
    <w:rsid w:val="00D47EC7"/>
    <w:rsid w:val="00DA7EC1"/>
    <w:rsid w:val="00DB4B2B"/>
    <w:rsid w:val="00DB667D"/>
    <w:rsid w:val="00DD236B"/>
    <w:rsid w:val="00DD53BF"/>
    <w:rsid w:val="00DD7733"/>
    <w:rsid w:val="00E02E78"/>
    <w:rsid w:val="00E47527"/>
    <w:rsid w:val="00E505AD"/>
    <w:rsid w:val="00E55463"/>
    <w:rsid w:val="00E70013"/>
    <w:rsid w:val="00E95424"/>
    <w:rsid w:val="00E96731"/>
    <w:rsid w:val="00EB77CA"/>
    <w:rsid w:val="00F321AA"/>
    <w:rsid w:val="00F364E1"/>
    <w:rsid w:val="00F662A7"/>
    <w:rsid w:val="00F70E72"/>
    <w:rsid w:val="00F9145F"/>
    <w:rsid w:val="00FA15E4"/>
    <w:rsid w:val="00FA2D7F"/>
    <w:rsid w:val="00FB09A9"/>
    <w:rsid w:val="00FC60A5"/>
    <w:rsid w:val="00FD044A"/>
    <w:rsid w:val="00FE44F4"/>
    <w:rsid w:val="03B555B5"/>
    <w:rsid w:val="0E40744C"/>
    <w:rsid w:val="142C592F"/>
    <w:rsid w:val="17F70494"/>
    <w:rsid w:val="24977B4A"/>
    <w:rsid w:val="35B37B01"/>
    <w:rsid w:val="3B552333"/>
    <w:rsid w:val="46AC690E"/>
    <w:rsid w:val="46DE59E9"/>
    <w:rsid w:val="48455675"/>
    <w:rsid w:val="4F2064F4"/>
    <w:rsid w:val="54DB12F0"/>
    <w:rsid w:val="55016749"/>
    <w:rsid w:val="571A327F"/>
    <w:rsid w:val="58AC4C93"/>
    <w:rsid w:val="590B5DD6"/>
    <w:rsid w:val="641B3B1C"/>
    <w:rsid w:val="79DA4E35"/>
    <w:rsid w:val="7BE430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360" w:lineRule="auto"/>
      <w:outlineLvl w:val="0"/>
    </w:pPr>
    <w:rPr>
      <w:b/>
      <w:bCs/>
      <w:kern w:val="44"/>
      <w:sz w:val="24"/>
      <w:szCs w:val="44"/>
    </w:rPr>
  </w:style>
  <w:style w:type="paragraph" w:styleId="3">
    <w:name w:val="heading 2"/>
    <w:basedOn w:val="1"/>
    <w:next w:val="1"/>
    <w:link w:val="3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0"/>
    <w:pPr>
      <w:keepNext/>
      <w:keepLines/>
      <w:spacing w:before="260" w:after="260" w:line="416" w:lineRule="auto"/>
      <w:outlineLvl w:val="2"/>
    </w:pPr>
    <w:rPr>
      <w:b/>
      <w:bCs/>
      <w:sz w:val="32"/>
      <w:szCs w:val="32"/>
    </w:rPr>
  </w:style>
  <w:style w:type="paragraph" w:styleId="5">
    <w:name w:val="heading 5"/>
    <w:basedOn w:val="1"/>
    <w:next w:val="1"/>
    <w:qFormat/>
    <w:uiPriority w:val="0"/>
    <w:pPr>
      <w:spacing w:line="360" w:lineRule="auto"/>
      <w:outlineLvl w:val="4"/>
    </w:pPr>
    <w:rPr>
      <w:b/>
      <w:sz w:val="24"/>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qFormat/>
    <w:uiPriority w:val="0"/>
    <w:pPr>
      <w:jc w:val="left"/>
    </w:pPr>
  </w:style>
  <w:style w:type="paragraph" w:styleId="7">
    <w:name w:val="Body Text Indent"/>
    <w:basedOn w:val="1"/>
    <w:link w:val="26"/>
    <w:qFormat/>
    <w:uiPriority w:val="0"/>
    <w:pPr>
      <w:widowControl/>
      <w:ind w:firstLine="560" w:firstLineChars="200"/>
      <w:jc w:val="left"/>
    </w:pPr>
    <w:rPr>
      <w:rFonts w:ascii="宋体" w:hAnsi="宋体"/>
      <w:color w:val="000000"/>
      <w:sz w:val="28"/>
      <w:szCs w:val="33"/>
    </w:r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9">
    <w:name w:val="Balloon Text"/>
    <w:basedOn w:val="1"/>
    <w:link w:val="22"/>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3">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4">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6"/>
    <w:next w:val="6"/>
    <w:link w:val="30"/>
    <w:qFormat/>
    <w:uiPriority w:val="0"/>
    <w:rPr>
      <w:b/>
      <w:bCs/>
    </w:rPr>
  </w:style>
  <w:style w:type="character" w:styleId="18">
    <w:name w:val="page number"/>
    <w:basedOn w:val="17"/>
    <w:qFormat/>
    <w:uiPriority w:val="0"/>
  </w:style>
  <w:style w:type="character" w:styleId="19">
    <w:name w:val="FollowedHyperlink"/>
    <w:basedOn w:val="17"/>
    <w:qFormat/>
    <w:uiPriority w:val="0"/>
    <w:rPr>
      <w:color w:val="800080" w:themeColor="followedHyperlink"/>
      <w:u w:val="single"/>
      <w14:textFill>
        <w14:solidFill>
          <w14:schemeClr w14:val="folHlink"/>
        </w14:solidFill>
      </w14:textFill>
    </w:rPr>
  </w:style>
  <w:style w:type="character" w:styleId="20">
    <w:name w:val="Hyperlink"/>
    <w:basedOn w:val="17"/>
    <w:qFormat/>
    <w:uiPriority w:val="99"/>
    <w:rPr>
      <w:color w:val="0000FF"/>
      <w:u w:val="single"/>
    </w:rPr>
  </w:style>
  <w:style w:type="character" w:styleId="21">
    <w:name w:val="annotation reference"/>
    <w:basedOn w:val="17"/>
    <w:qFormat/>
    <w:uiPriority w:val="0"/>
    <w:rPr>
      <w:sz w:val="21"/>
      <w:szCs w:val="21"/>
    </w:rPr>
  </w:style>
  <w:style w:type="character" w:customStyle="1" w:styleId="22">
    <w:name w:val="批注框文本 Char"/>
    <w:basedOn w:val="17"/>
    <w:link w:val="9"/>
    <w:qFormat/>
    <w:uiPriority w:val="0"/>
    <w:rPr>
      <w:kern w:val="2"/>
      <w:sz w:val="18"/>
      <w:szCs w:val="18"/>
    </w:rPr>
  </w:style>
  <w:style w:type="character" w:customStyle="1" w:styleId="23">
    <w:name w:val="标题 1 Char"/>
    <w:basedOn w:val="17"/>
    <w:link w:val="2"/>
    <w:qFormat/>
    <w:uiPriority w:val="0"/>
    <w:rPr>
      <w:b/>
      <w:bCs/>
      <w:kern w:val="44"/>
      <w:sz w:val="24"/>
      <w:szCs w:val="44"/>
    </w:rPr>
  </w:style>
  <w:style w:type="paragraph" w:customStyle="1" w:styleId="24">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标题 Char"/>
    <w:basedOn w:val="17"/>
    <w:link w:val="14"/>
    <w:qFormat/>
    <w:uiPriority w:val="0"/>
    <w:rPr>
      <w:rFonts w:asciiTheme="majorHAnsi" w:hAnsiTheme="majorHAnsi" w:cstheme="majorBidi"/>
      <w:b/>
      <w:bCs/>
      <w:kern w:val="2"/>
      <w:sz w:val="32"/>
      <w:szCs w:val="32"/>
    </w:rPr>
  </w:style>
  <w:style w:type="character" w:customStyle="1" w:styleId="26">
    <w:name w:val="正文文本缩进 Char"/>
    <w:basedOn w:val="17"/>
    <w:link w:val="7"/>
    <w:qFormat/>
    <w:uiPriority w:val="0"/>
    <w:rPr>
      <w:rFonts w:ascii="宋体" w:hAnsi="宋体"/>
      <w:color w:val="000000"/>
      <w:kern w:val="2"/>
      <w:sz w:val="28"/>
      <w:szCs w:val="33"/>
    </w:rPr>
  </w:style>
  <w:style w:type="character" w:customStyle="1" w:styleId="27">
    <w:name w:val="批注文字 Char"/>
    <w:basedOn w:val="17"/>
    <w:link w:val="6"/>
    <w:qFormat/>
    <w:uiPriority w:val="0"/>
    <w:rPr>
      <w:kern w:val="2"/>
      <w:sz w:val="21"/>
      <w:szCs w:val="24"/>
    </w:rPr>
  </w:style>
  <w:style w:type="paragraph" w:customStyle="1" w:styleId="28">
    <w:name w:val="修订1"/>
    <w:hidden/>
    <w:semiHidden/>
    <w:qFormat/>
    <w:uiPriority w:val="99"/>
    <w:rPr>
      <w:rFonts w:ascii="Times New Roman" w:hAnsi="Times New Roman" w:eastAsia="宋体" w:cs="Times New Roman"/>
      <w:kern w:val="2"/>
      <w:sz w:val="21"/>
      <w:szCs w:val="24"/>
      <w:lang w:val="en-US" w:eastAsia="zh-CN" w:bidi="ar-SA"/>
    </w:rPr>
  </w:style>
  <w:style w:type="paragraph" w:styleId="29">
    <w:name w:val="List Paragraph"/>
    <w:basedOn w:val="1"/>
    <w:qFormat/>
    <w:uiPriority w:val="34"/>
    <w:pPr>
      <w:ind w:firstLine="420" w:firstLineChars="200"/>
    </w:pPr>
  </w:style>
  <w:style w:type="character" w:customStyle="1" w:styleId="30">
    <w:name w:val="批注主题 Char"/>
    <w:basedOn w:val="27"/>
    <w:link w:val="15"/>
    <w:qFormat/>
    <w:uiPriority w:val="0"/>
    <w:rPr>
      <w:b/>
      <w:bCs/>
      <w:kern w:val="2"/>
      <w:sz w:val="21"/>
      <w:szCs w:val="24"/>
    </w:rPr>
  </w:style>
  <w:style w:type="character" w:customStyle="1" w:styleId="31">
    <w:name w:val="标题 2 Char"/>
    <w:basedOn w:val="17"/>
    <w:link w:val="3"/>
    <w:semiHidden/>
    <w:qFormat/>
    <w:uiPriority w:val="0"/>
    <w:rPr>
      <w:rFonts w:asciiTheme="majorHAnsi" w:hAnsiTheme="majorHAnsi" w:eastAsiaTheme="majorEastAsia" w:cstheme="majorBidi"/>
      <w:b/>
      <w:bCs/>
      <w:kern w:val="2"/>
      <w:sz w:val="32"/>
      <w:szCs w:val="32"/>
    </w:rPr>
  </w:style>
  <w:style w:type="character" w:customStyle="1" w:styleId="32">
    <w:name w:val="标题 3 Char"/>
    <w:basedOn w:val="17"/>
    <w:link w:val="4"/>
    <w:semiHidden/>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49"/>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C4E8BC-C52A-4E5B-A637-A0142D33552B}">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3</Pages>
  <Words>141</Words>
  <Characters>806</Characters>
  <Lines>6</Lines>
  <Paragraphs>1</Paragraphs>
  <TotalTime>0</TotalTime>
  <ScaleCrop>false</ScaleCrop>
  <LinksUpToDate>false</LinksUpToDate>
  <CharactersWithSpaces>946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2021-07-01T02:32:00Z</dcterms:created>
  <dc:creator>cqm</dc:creator>
  <cp:lastModifiedBy>小明</cp:lastModifiedBy>
  <dcterms:modified xsi:type="dcterms:W3CDTF">2022-03-18T01:56:35Z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5BF48B3AA3A14F4DB532DA4E234C6233</vt:lpwstr>
  </property>
</Properties>
</file>