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pPr>
      <w:r>
        <w:drawing>
          <wp:inline distT="0" distB="0" distL="0" distR="0">
            <wp:extent cx="3766185" cy="606425"/>
            <wp:effectExtent l="19050" t="0" r="5715" b="0"/>
            <wp:docPr id="3"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方圆标志全称.jpg"/>
                    <pic:cNvPicPr>
                      <a:picLocks noChangeAspect="1" noChangeArrowheads="1"/>
                    </pic:cNvPicPr>
                  </pic:nvPicPr>
                  <pic:blipFill>
                    <a:blip r:embed="rId7" cstate="print"/>
                    <a:srcRect/>
                    <a:stretch>
                      <a:fillRect/>
                    </a:stretch>
                  </pic:blipFill>
                  <pic:spPr>
                    <a:xfrm>
                      <a:off x="0" y="0"/>
                      <a:ext cx="3766185" cy="606425"/>
                    </a:xfrm>
                    <a:prstGeom prst="rect">
                      <a:avLst/>
                    </a:prstGeom>
                    <a:noFill/>
                    <a:ln w="9525">
                      <a:noFill/>
                      <a:miter lim="800000"/>
                      <a:headEnd/>
                      <a:tailEnd/>
                    </a:ln>
                  </pic:spPr>
                </pic:pic>
              </a:graphicData>
            </a:graphic>
          </wp:inline>
        </w:drawing>
      </w:r>
    </w:p>
    <w:p>
      <w:pPr>
        <w:spacing w:line="360" w:lineRule="auto"/>
      </w:pPr>
    </w:p>
    <w:p>
      <w:pPr>
        <w:spacing w:line="360" w:lineRule="auto"/>
      </w:pPr>
    </w:p>
    <w:p>
      <w:pPr>
        <w:spacing w:line="360" w:lineRule="auto"/>
      </w:pPr>
    </w:p>
    <w:p>
      <w:pPr>
        <w:spacing w:line="360" w:lineRule="auto"/>
        <w:rPr>
          <w:rFonts w:ascii="黑体" w:hAnsi="宋体" w:eastAsia="黑体"/>
          <w:szCs w:val="21"/>
        </w:rPr>
      </w:pPr>
      <w:r>
        <w:rPr>
          <w:rFonts w:ascii="黑体" w:hAnsi="宋体" w:eastAsia="黑体"/>
          <w:szCs w:val="21"/>
        </w:rPr>
        <w:pict>
          <v:shape id="_x0000_s1028" o:spid="_x0000_s1028" o:spt="202" type="#_x0000_t202" style="position:absolute;left:0pt;margin-left:13.35pt;margin-top:14.7pt;height:64.3pt;width:402.75pt;z-index:251660288;mso-width-relative:page;mso-height-relative:page;" fillcolor="#C0C0C0" filled="t" stroked="f" coordsize="21600,21600">
            <v:path/>
            <v:fill on="t" opacity="26214f" focussize="0,0"/>
            <v:stroke on="f" color="#C0C0C0" joinstyle="miter"/>
            <v:imagedata o:title=""/>
            <o:lock v:ext="edit"/>
            <v:textbox inset="0mm,4mm,0mm,2.3mm">
              <w:txbxContent>
                <w:p>
                  <w:pPr>
                    <w:pStyle w:val="14"/>
                    <w:spacing w:before="0" w:after="0"/>
                    <w:outlineLvl w:val="9"/>
                    <w:rPr>
                      <w:rFonts w:ascii="黑体" w:hAnsi="黑体" w:eastAsia="黑体"/>
                      <w:b w:val="0"/>
                      <w:sz w:val="48"/>
                      <w:szCs w:val="48"/>
                    </w:rPr>
                  </w:pPr>
                  <w:bookmarkStart w:id="161" w:name="_Toc440007486"/>
                  <w:bookmarkStart w:id="162" w:name="_Toc444776325"/>
                  <w:r>
                    <w:rPr>
                      <w:rFonts w:hint="eastAsia" w:ascii="黑体" w:hAnsi="黑体" w:eastAsia="黑体"/>
                      <w:b w:val="0"/>
                      <w:sz w:val="48"/>
                      <w:szCs w:val="48"/>
                    </w:rPr>
                    <w:t>社会责任管理体系认证实施方案</w:t>
                  </w:r>
                </w:p>
                <w:p/>
                <w:p>
                  <w:pPr>
                    <w:pStyle w:val="14"/>
                    <w:spacing w:before="0" w:after="0"/>
                    <w:outlineLvl w:val="9"/>
                    <w:rPr>
                      <w:rFonts w:ascii="黑体" w:hAnsi="黑体" w:eastAsia="黑体"/>
                      <w:b w:val="0"/>
                      <w:sz w:val="48"/>
                      <w:szCs w:val="48"/>
                    </w:rPr>
                  </w:pPr>
                  <w:r>
                    <w:rPr>
                      <w:rFonts w:hint="eastAsia" w:ascii="黑体" w:hAnsi="黑体" w:eastAsia="黑体"/>
                      <w:b w:val="0"/>
                      <w:sz w:val="48"/>
                      <w:szCs w:val="48"/>
                    </w:rPr>
                    <w:t>社会责任管理体系认证实施方案</w:t>
                  </w:r>
                  <w:bookmarkEnd w:id="161"/>
                  <w:bookmarkEnd w:id="162"/>
                </w:p>
              </w:txbxContent>
            </v:textbox>
          </v:shape>
        </w:pict>
      </w: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tbl>
      <w:tblPr>
        <w:tblStyle w:val="16"/>
        <w:tblpPr w:leftFromText="180" w:rightFromText="180" w:vertAnchor="page" w:horzAnchor="page" w:tblpX="3487" w:tblpY="7653"/>
        <w:tblW w:w="0" w:type="auto"/>
        <w:tblInd w:w="0" w:type="dxa"/>
        <w:tblLayout w:type="autofit"/>
        <w:tblCellMar>
          <w:top w:w="0" w:type="dxa"/>
          <w:left w:w="108" w:type="dxa"/>
          <w:bottom w:w="0" w:type="dxa"/>
          <w:right w:w="108" w:type="dxa"/>
        </w:tblCellMar>
      </w:tblPr>
      <w:tblGrid>
        <w:gridCol w:w="1846"/>
        <w:gridCol w:w="4249"/>
      </w:tblGrid>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文件编号：</w:t>
            </w:r>
          </w:p>
        </w:tc>
        <w:tc>
          <w:tcPr>
            <w:tcW w:w="4249" w:type="dxa"/>
            <w:vAlign w:val="center"/>
          </w:tcPr>
          <w:p>
            <w:pPr>
              <w:ind w:firstLine="274" w:firstLineChars="98"/>
              <w:rPr>
                <w:rFonts w:ascii="Arial Unicode MS" w:hAnsi="Arial Unicode MS" w:eastAsia="仿宋_GB2312" w:cs="Arial Unicode MS"/>
                <w:sz w:val="28"/>
                <w:szCs w:val="28"/>
              </w:rPr>
            </w:pPr>
            <w:r>
              <w:rPr>
                <w:rFonts w:eastAsia="仿宋_GB2312"/>
                <w:sz w:val="28"/>
                <w:szCs w:val="15"/>
              </w:rPr>
              <w:t>CQM</w:t>
            </w:r>
            <w:r>
              <w:rPr>
                <w:rFonts w:hint="eastAsia" w:eastAsia="仿宋_GB2312"/>
                <w:sz w:val="28"/>
                <w:szCs w:val="15"/>
              </w:rPr>
              <w:t>/</w:t>
            </w:r>
            <w:r>
              <w:rPr>
                <w:rFonts w:eastAsia="仿宋_GB2312"/>
                <w:sz w:val="28"/>
                <w:szCs w:val="15"/>
              </w:rPr>
              <w:t>S-FN-</w:t>
            </w:r>
            <w:r>
              <w:rPr>
                <w:rFonts w:hint="eastAsia" w:eastAsia="仿宋_GB2312"/>
                <w:sz w:val="28"/>
                <w:szCs w:val="15"/>
              </w:rPr>
              <w:t>23</w:t>
            </w:r>
            <w:r>
              <w:rPr>
                <w:rFonts w:eastAsia="仿宋_GB2312"/>
                <w:sz w:val="28"/>
                <w:szCs w:val="15"/>
              </w:rPr>
              <w:t>-0</w:t>
            </w:r>
            <w:r>
              <w:rPr>
                <w:rFonts w:hint="eastAsia" w:eastAsia="仿宋_GB2312"/>
                <w:sz w:val="28"/>
                <w:szCs w:val="15"/>
              </w:rPr>
              <w:t>22</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发布日期：</w:t>
            </w:r>
          </w:p>
        </w:tc>
        <w:tc>
          <w:tcPr>
            <w:tcW w:w="4249" w:type="dxa"/>
            <w:vAlign w:val="center"/>
          </w:tcPr>
          <w:p>
            <w:pPr>
              <w:ind w:firstLine="280" w:firstLineChars="100"/>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rPr>
              <w:t>2</w:t>
            </w:r>
            <w:r>
              <w:rPr>
                <w:rFonts w:hint="eastAsia" w:eastAsia="仿宋_GB2312"/>
                <w:sz w:val="28"/>
                <w:szCs w:val="15"/>
                <w:lang w:val="en-US" w:eastAsia="zh-CN"/>
              </w:rPr>
              <w:t>4</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color w:val="000000"/>
                <w:sz w:val="30"/>
              </w:rPr>
            </w:pPr>
            <w:r>
              <w:rPr>
                <w:rFonts w:hint="eastAsia" w:ascii="Arial" w:hAnsi="Arial" w:eastAsia="隶书" w:cs="Arial"/>
                <w:color w:val="000000"/>
                <w:sz w:val="30"/>
              </w:rPr>
              <w:t>修订日期：</w:t>
            </w:r>
          </w:p>
        </w:tc>
        <w:tc>
          <w:tcPr>
            <w:tcW w:w="4249" w:type="dxa"/>
            <w:vAlign w:val="center"/>
          </w:tcPr>
          <w:p>
            <w:pPr>
              <w:ind w:firstLine="280" w:firstLineChars="100"/>
              <w:rPr>
                <w:rFonts w:eastAsia="仿宋_GB2312"/>
                <w:color w:val="000000"/>
                <w:sz w:val="28"/>
                <w:szCs w:val="15"/>
              </w:rPr>
            </w:pP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实施日期：</w:t>
            </w:r>
          </w:p>
        </w:tc>
        <w:tc>
          <w:tcPr>
            <w:tcW w:w="4249" w:type="dxa"/>
            <w:vAlign w:val="center"/>
          </w:tcPr>
          <w:p>
            <w:pPr>
              <w:ind w:firstLine="280" w:firstLineChars="100"/>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rPr>
              <w:t>2</w:t>
            </w:r>
            <w:r>
              <w:rPr>
                <w:rFonts w:hint="eastAsia" w:eastAsia="仿宋_GB2312"/>
                <w:sz w:val="28"/>
                <w:szCs w:val="15"/>
                <w:lang w:val="en-US" w:eastAsia="zh-CN"/>
              </w:rPr>
              <w:t>4</w:t>
            </w:r>
            <w:r>
              <w:rPr>
                <w:rFonts w:eastAsia="仿宋_GB2312"/>
                <w:sz w:val="28"/>
                <w:szCs w:val="15"/>
              </w:rPr>
              <w:t>日</w:t>
            </w:r>
          </w:p>
        </w:tc>
      </w:tr>
    </w:tbl>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eastAsia="方正姚体"/>
          <w:sz w:val="32"/>
        </w:rPr>
      </w:pPr>
    </w:p>
    <w:p/>
    <w:p/>
    <w:p/>
    <w:p/>
    <w:p/>
    <w:p/>
    <w:p/>
    <w:p/>
    <w:p/>
    <w:p/>
    <w:p/>
    <w:p>
      <w:r>
        <w:rPr>
          <w:rFonts w:hint="eastAsia"/>
        </w:rPr>
        <w:drawing>
          <wp:anchor distT="0" distB="0" distL="114300" distR="114300" simplePos="0" relativeHeight="251659264" behindDoc="0" locked="0" layoutInCell="1" allowOverlap="1">
            <wp:simplePos x="0" y="0"/>
            <wp:positionH relativeFrom="column">
              <wp:posOffset>-1114425</wp:posOffset>
            </wp:positionH>
            <wp:positionV relativeFrom="paragraph">
              <wp:posOffset>12700</wp:posOffset>
            </wp:positionV>
            <wp:extent cx="3890010" cy="2842260"/>
            <wp:effectExtent l="19050" t="0" r="0" b="0"/>
            <wp:wrapNone/>
            <wp:docPr id="4"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0" descr="791798467DFB4DCAB07D0134B56CF23C.jpg"/>
                    <pic:cNvPicPr>
                      <a:picLocks noChangeAspect="1" noChangeArrowheads="1"/>
                    </pic:cNvPicPr>
                  </pic:nvPicPr>
                  <pic:blipFill>
                    <a:blip r:embed="rId8" cstate="print"/>
                    <a:srcRect/>
                    <a:stretch>
                      <a:fillRect/>
                    </a:stretch>
                  </pic:blipFill>
                  <pic:spPr>
                    <a:xfrm>
                      <a:off x="0" y="0"/>
                      <a:ext cx="3890010" cy="2842260"/>
                    </a:xfrm>
                    <a:prstGeom prst="rect">
                      <a:avLst/>
                    </a:prstGeom>
                    <a:noFill/>
                    <a:ln w="9525">
                      <a:noFill/>
                      <a:miter lim="800000"/>
                      <a:headEnd/>
                      <a:tailEnd/>
                    </a:ln>
                  </pic:spPr>
                </pic:pic>
              </a:graphicData>
            </a:graphic>
          </wp:anchor>
        </w:drawing>
      </w:r>
    </w:p>
    <w:p/>
    <w:p/>
    <w:p/>
    <w:p/>
    <w:p/>
    <w:p/>
    <w:p/>
    <w:p/>
    <w:p>
      <w:pPr>
        <w:ind w:firstLine="602" w:firstLineChars="200"/>
        <w:jc w:val="center"/>
        <w:rPr>
          <w:b/>
          <w:bCs/>
          <w:sz w:val="30"/>
        </w:rPr>
      </w:pPr>
    </w:p>
    <w:p>
      <w:pPr>
        <w:ind w:firstLine="602" w:firstLineChars="200"/>
        <w:jc w:val="center"/>
        <w:rPr>
          <w:b/>
          <w:bCs/>
          <w:sz w:val="30"/>
        </w:rPr>
      </w:pPr>
      <w:r>
        <w:rPr>
          <w:rFonts w:hint="eastAsia"/>
          <w:b/>
          <w:bCs/>
          <w:sz w:val="30"/>
        </w:rPr>
        <w:t>目    录</w:t>
      </w:r>
    </w:p>
    <w:p>
      <w:pPr>
        <w:pStyle w:val="12"/>
        <w:tabs>
          <w:tab w:val="right" w:leader="dot" w:pos="8312"/>
        </w:tabs>
        <w:spacing w:line="360" w:lineRule="auto"/>
      </w:pPr>
      <w:r>
        <w:fldChar w:fldCharType="begin"/>
      </w:r>
      <w:r>
        <w:instrText xml:space="preserve"> TOC \o "1-3" \h \z \u </w:instrText>
      </w:r>
      <w:r>
        <w:fldChar w:fldCharType="separate"/>
      </w:r>
      <w:r>
        <w:fldChar w:fldCharType="begin"/>
      </w:r>
      <w:r>
        <w:instrText xml:space="preserve"> HYPERLINK \l _Toc20308 </w:instrText>
      </w:r>
      <w:r>
        <w:fldChar w:fldCharType="separate"/>
      </w:r>
      <w:r>
        <w:t>1</w:t>
      </w:r>
      <w:r>
        <w:rPr>
          <w:rFonts w:hint="eastAsia"/>
        </w:rPr>
        <w:t xml:space="preserve"> 适用范围</w:t>
      </w:r>
      <w:r>
        <w:tab/>
      </w:r>
      <w:r>
        <w:fldChar w:fldCharType="begin"/>
      </w:r>
      <w:r>
        <w:instrText xml:space="preserve"> PAGEREF _Toc20308 \h </w:instrText>
      </w:r>
      <w:r>
        <w:fldChar w:fldCharType="separate"/>
      </w:r>
      <w:r>
        <w:t>2</w:t>
      </w:r>
      <w:r>
        <w:fldChar w:fldCharType="end"/>
      </w:r>
      <w:r>
        <w:fldChar w:fldCharType="end"/>
      </w:r>
    </w:p>
    <w:p>
      <w:pPr>
        <w:pStyle w:val="12"/>
        <w:tabs>
          <w:tab w:val="right" w:leader="dot" w:pos="8312"/>
        </w:tabs>
        <w:spacing w:line="360" w:lineRule="auto"/>
      </w:pPr>
      <w:r>
        <w:fldChar w:fldCharType="begin"/>
      </w:r>
      <w:r>
        <w:instrText xml:space="preserve"> HYPERLINK \l _Toc30174 </w:instrText>
      </w:r>
      <w:r>
        <w:fldChar w:fldCharType="separate"/>
      </w:r>
      <w:r>
        <w:rPr>
          <w:rFonts w:hint="eastAsia"/>
        </w:rPr>
        <w:t>2 认证模式</w:t>
      </w:r>
      <w:r>
        <w:tab/>
      </w:r>
      <w:r>
        <w:fldChar w:fldCharType="begin"/>
      </w:r>
      <w:r>
        <w:instrText xml:space="preserve"> PAGEREF _Toc30174 \h </w:instrText>
      </w:r>
      <w:r>
        <w:fldChar w:fldCharType="separate"/>
      </w:r>
      <w:r>
        <w:t>2</w:t>
      </w:r>
      <w:r>
        <w:fldChar w:fldCharType="end"/>
      </w:r>
      <w:r>
        <w:fldChar w:fldCharType="end"/>
      </w:r>
    </w:p>
    <w:p>
      <w:pPr>
        <w:pStyle w:val="12"/>
        <w:tabs>
          <w:tab w:val="right" w:leader="dot" w:pos="8312"/>
        </w:tabs>
        <w:spacing w:line="360" w:lineRule="auto"/>
      </w:pPr>
      <w:r>
        <w:fldChar w:fldCharType="begin"/>
      </w:r>
      <w:r>
        <w:instrText xml:space="preserve"> HYPERLINK \l _Toc13054 </w:instrText>
      </w:r>
      <w:r>
        <w:fldChar w:fldCharType="separate"/>
      </w:r>
      <w:r>
        <w:rPr>
          <w:rFonts w:hint="eastAsia"/>
        </w:rPr>
        <w:t>3 认证过程流程图</w:t>
      </w:r>
      <w:r>
        <w:tab/>
      </w:r>
      <w:r>
        <w:fldChar w:fldCharType="begin"/>
      </w:r>
      <w:r>
        <w:instrText xml:space="preserve"> PAGEREF _Toc13054 \h </w:instrText>
      </w:r>
      <w:r>
        <w:fldChar w:fldCharType="separate"/>
      </w:r>
      <w:r>
        <w:t>2</w:t>
      </w:r>
      <w:r>
        <w:fldChar w:fldCharType="end"/>
      </w:r>
      <w:r>
        <w:fldChar w:fldCharType="end"/>
      </w:r>
    </w:p>
    <w:p>
      <w:pPr>
        <w:pStyle w:val="12"/>
        <w:tabs>
          <w:tab w:val="right" w:leader="dot" w:pos="8312"/>
        </w:tabs>
        <w:spacing w:line="360" w:lineRule="auto"/>
      </w:pPr>
      <w:r>
        <w:fldChar w:fldCharType="begin"/>
      </w:r>
      <w:r>
        <w:instrText xml:space="preserve"> HYPERLINK \l _Toc20245 </w:instrText>
      </w:r>
      <w:r>
        <w:fldChar w:fldCharType="separate"/>
      </w:r>
      <w:r>
        <w:rPr>
          <w:rFonts w:hint="eastAsia"/>
        </w:rPr>
        <w:t>4 认证申请</w:t>
      </w:r>
      <w:r>
        <w:tab/>
      </w:r>
      <w:r>
        <w:fldChar w:fldCharType="begin"/>
      </w:r>
      <w:r>
        <w:instrText xml:space="preserve"> PAGEREF _Toc20245 \h </w:instrText>
      </w:r>
      <w:r>
        <w:fldChar w:fldCharType="separate"/>
      </w:r>
      <w:r>
        <w:t>3</w:t>
      </w:r>
      <w:r>
        <w:fldChar w:fldCharType="end"/>
      </w:r>
      <w:r>
        <w:fldChar w:fldCharType="end"/>
      </w:r>
    </w:p>
    <w:p>
      <w:pPr>
        <w:pStyle w:val="12"/>
        <w:tabs>
          <w:tab w:val="right" w:leader="dot" w:pos="8312"/>
        </w:tabs>
        <w:spacing w:line="360" w:lineRule="auto"/>
      </w:pPr>
      <w:r>
        <w:fldChar w:fldCharType="begin"/>
      </w:r>
      <w:r>
        <w:instrText xml:space="preserve"> HYPERLINK \l _Toc3932 </w:instrText>
      </w:r>
      <w:r>
        <w:fldChar w:fldCharType="separate"/>
      </w:r>
      <w:r>
        <w:rPr>
          <w:rFonts w:hint="eastAsia" w:ascii="宋体" w:hAnsi="宋体"/>
        </w:rPr>
        <w:t>5 审核实施</w:t>
      </w:r>
      <w:r>
        <w:tab/>
      </w:r>
      <w:r>
        <w:fldChar w:fldCharType="begin"/>
      </w:r>
      <w:r>
        <w:instrText xml:space="preserve"> PAGEREF _Toc3932 \h </w:instrText>
      </w:r>
      <w:r>
        <w:fldChar w:fldCharType="separate"/>
      </w:r>
      <w:r>
        <w:t>4</w:t>
      </w:r>
      <w:r>
        <w:fldChar w:fldCharType="end"/>
      </w:r>
      <w:r>
        <w:fldChar w:fldCharType="end"/>
      </w:r>
    </w:p>
    <w:p>
      <w:pPr>
        <w:pStyle w:val="12"/>
        <w:tabs>
          <w:tab w:val="right" w:leader="dot" w:pos="8312"/>
        </w:tabs>
        <w:spacing w:line="360" w:lineRule="auto"/>
      </w:pPr>
      <w:r>
        <w:fldChar w:fldCharType="begin"/>
      </w:r>
      <w:r>
        <w:instrText xml:space="preserve"> HYPERLINK \l _Toc9238 </w:instrText>
      </w:r>
      <w:r>
        <w:fldChar w:fldCharType="separate"/>
      </w:r>
      <w:r>
        <w:rPr>
          <w:rFonts w:hint="eastAsia"/>
        </w:rPr>
        <w:t>6 认证的批准、拒绝、保持、扩大、缩小、暂停、恢复和撤销的条件和程序</w:t>
      </w:r>
      <w:r>
        <w:tab/>
      </w:r>
      <w:r>
        <w:fldChar w:fldCharType="begin"/>
      </w:r>
      <w:r>
        <w:instrText xml:space="preserve"> PAGEREF _Toc9238 \h </w:instrText>
      </w:r>
      <w:r>
        <w:fldChar w:fldCharType="separate"/>
      </w:r>
      <w:r>
        <w:t>8</w:t>
      </w:r>
      <w:r>
        <w:fldChar w:fldCharType="end"/>
      </w:r>
      <w:r>
        <w:fldChar w:fldCharType="end"/>
      </w:r>
    </w:p>
    <w:p>
      <w:pPr>
        <w:pStyle w:val="12"/>
        <w:tabs>
          <w:tab w:val="right" w:leader="dot" w:pos="8312"/>
        </w:tabs>
        <w:spacing w:line="360" w:lineRule="auto"/>
      </w:pPr>
      <w:r>
        <w:fldChar w:fldCharType="begin"/>
      </w:r>
      <w:r>
        <w:instrText xml:space="preserve"> HYPERLINK \l _Toc27563 </w:instrText>
      </w:r>
      <w:r>
        <w:fldChar w:fldCharType="separate"/>
      </w:r>
      <w:r>
        <w:rPr>
          <w:rFonts w:hint="eastAsia" w:ascii="宋体" w:hAnsi="宋体"/>
        </w:rPr>
        <w:t>7 认证证书和认证标志</w:t>
      </w:r>
      <w:r>
        <w:tab/>
      </w:r>
      <w:r>
        <w:fldChar w:fldCharType="begin"/>
      </w:r>
      <w:r>
        <w:instrText xml:space="preserve"> PAGEREF _Toc27563 \h </w:instrText>
      </w:r>
      <w:r>
        <w:fldChar w:fldCharType="separate"/>
      </w:r>
      <w:r>
        <w:t>17</w:t>
      </w:r>
      <w:r>
        <w:fldChar w:fldCharType="end"/>
      </w:r>
      <w:r>
        <w:fldChar w:fldCharType="end"/>
      </w:r>
    </w:p>
    <w:p>
      <w:pPr>
        <w:pStyle w:val="12"/>
        <w:tabs>
          <w:tab w:val="right" w:leader="dot" w:pos="8312"/>
        </w:tabs>
        <w:spacing w:line="360" w:lineRule="auto"/>
      </w:pPr>
      <w:r>
        <w:fldChar w:fldCharType="begin"/>
      </w:r>
      <w:r>
        <w:instrText xml:space="preserve"> HYPERLINK \l _Toc12368 </w:instrText>
      </w:r>
      <w:r>
        <w:fldChar w:fldCharType="separate"/>
      </w:r>
      <w:r>
        <w:rPr>
          <w:rFonts w:ascii="宋体" w:hAnsi="宋体"/>
        </w:rPr>
        <w:t>8</w:t>
      </w:r>
      <w:r>
        <w:rPr>
          <w:rFonts w:hint="eastAsia" w:ascii="宋体" w:hAnsi="宋体"/>
        </w:rPr>
        <w:t xml:space="preserve"> 获证客户的信息通报</w:t>
      </w:r>
      <w:r>
        <w:tab/>
      </w:r>
      <w:r>
        <w:fldChar w:fldCharType="begin"/>
      </w:r>
      <w:r>
        <w:instrText xml:space="preserve"> PAGEREF _Toc12368 \h </w:instrText>
      </w:r>
      <w:r>
        <w:fldChar w:fldCharType="separate"/>
      </w:r>
      <w:r>
        <w:t>18</w:t>
      </w:r>
      <w:r>
        <w:fldChar w:fldCharType="end"/>
      </w:r>
      <w:r>
        <w:fldChar w:fldCharType="end"/>
      </w:r>
    </w:p>
    <w:p>
      <w:pPr>
        <w:pStyle w:val="12"/>
        <w:tabs>
          <w:tab w:val="right" w:leader="dot" w:pos="8312"/>
        </w:tabs>
        <w:spacing w:line="360" w:lineRule="auto"/>
      </w:pPr>
      <w:r>
        <w:fldChar w:fldCharType="begin"/>
      </w:r>
      <w:r>
        <w:instrText xml:space="preserve"> HYPERLINK \l _Toc18977 </w:instrText>
      </w:r>
      <w:r>
        <w:fldChar w:fldCharType="separate"/>
      </w:r>
      <w:r>
        <w:rPr>
          <w:rFonts w:hint="eastAsia" w:ascii="宋体" w:hAnsi="宋体"/>
        </w:rPr>
        <w:t>9 认证要求变更的条件和程序</w:t>
      </w:r>
      <w:r>
        <w:tab/>
      </w:r>
      <w:r>
        <w:fldChar w:fldCharType="begin"/>
      </w:r>
      <w:r>
        <w:instrText xml:space="preserve"> PAGEREF _Toc18977 \h </w:instrText>
      </w:r>
      <w:r>
        <w:fldChar w:fldCharType="separate"/>
      </w:r>
      <w:r>
        <w:t>18</w:t>
      </w:r>
      <w:r>
        <w:fldChar w:fldCharType="end"/>
      </w:r>
      <w:r>
        <w:fldChar w:fldCharType="end"/>
      </w:r>
    </w:p>
    <w:p>
      <w:pPr>
        <w:pStyle w:val="12"/>
        <w:tabs>
          <w:tab w:val="right" w:leader="dot" w:pos="8312"/>
        </w:tabs>
        <w:spacing w:line="360" w:lineRule="auto"/>
      </w:pPr>
      <w:r>
        <w:fldChar w:fldCharType="begin"/>
      </w:r>
      <w:r>
        <w:instrText xml:space="preserve"> HYPERLINK \l _Toc22432 </w:instrText>
      </w:r>
      <w:r>
        <w:fldChar w:fldCharType="separate"/>
      </w:r>
      <w:r>
        <w:rPr>
          <w:rFonts w:hint="eastAsia" w:ascii="宋体" w:hAnsi="宋体"/>
        </w:rPr>
        <w:t>10 保密</w:t>
      </w:r>
      <w:r>
        <w:tab/>
      </w:r>
      <w:r>
        <w:fldChar w:fldCharType="begin"/>
      </w:r>
      <w:r>
        <w:instrText xml:space="preserve"> PAGEREF _Toc22432 \h </w:instrText>
      </w:r>
      <w:r>
        <w:fldChar w:fldCharType="separate"/>
      </w:r>
      <w:r>
        <w:t>19</w:t>
      </w:r>
      <w:r>
        <w:fldChar w:fldCharType="end"/>
      </w:r>
      <w:r>
        <w:fldChar w:fldCharType="end"/>
      </w:r>
    </w:p>
    <w:p>
      <w:pPr>
        <w:pStyle w:val="12"/>
        <w:tabs>
          <w:tab w:val="right" w:leader="dot" w:pos="8312"/>
        </w:tabs>
        <w:spacing w:line="360" w:lineRule="auto"/>
      </w:pPr>
      <w:r>
        <w:fldChar w:fldCharType="begin"/>
      </w:r>
      <w:r>
        <w:instrText xml:space="preserve"> HYPERLINK \l _Toc10169 </w:instrText>
      </w:r>
      <w:r>
        <w:fldChar w:fldCharType="separate"/>
      </w:r>
      <w:r>
        <w:rPr>
          <w:rFonts w:hint="eastAsia" w:ascii="宋体" w:hAnsi="宋体"/>
        </w:rPr>
        <w:t>11 申诉/投诉、争议及处理</w:t>
      </w:r>
      <w:r>
        <w:tab/>
      </w:r>
      <w:r>
        <w:fldChar w:fldCharType="begin"/>
      </w:r>
      <w:r>
        <w:instrText xml:space="preserve"> PAGEREF _Toc10169 \h </w:instrText>
      </w:r>
      <w:r>
        <w:fldChar w:fldCharType="separate"/>
      </w:r>
      <w:r>
        <w:t>19</w:t>
      </w:r>
      <w:r>
        <w:fldChar w:fldCharType="end"/>
      </w:r>
      <w:r>
        <w:fldChar w:fldCharType="end"/>
      </w:r>
    </w:p>
    <w:p>
      <w:pPr>
        <w:pStyle w:val="12"/>
        <w:tabs>
          <w:tab w:val="right" w:leader="dot" w:pos="8312"/>
        </w:tabs>
        <w:spacing w:line="360" w:lineRule="auto"/>
      </w:pPr>
      <w:r>
        <w:fldChar w:fldCharType="begin"/>
      </w:r>
      <w:r>
        <w:instrText xml:space="preserve"> HYPERLINK \l _Toc29024 </w:instrText>
      </w:r>
      <w:r>
        <w:fldChar w:fldCharType="separate"/>
      </w:r>
      <w:r>
        <w:rPr>
          <w:rFonts w:hint="eastAsia" w:ascii="宋体" w:hAnsi="宋体"/>
        </w:rPr>
        <w:t>12 费用</w:t>
      </w:r>
      <w:r>
        <w:tab/>
      </w:r>
      <w:r>
        <w:fldChar w:fldCharType="begin"/>
      </w:r>
      <w:r>
        <w:instrText xml:space="preserve"> PAGEREF _Toc29024 \h </w:instrText>
      </w:r>
      <w:r>
        <w:fldChar w:fldCharType="separate"/>
      </w:r>
      <w:r>
        <w:t>19</w:t>
      </w:r>
      <w:r>
        <w:fldChar w:fldCharType="end"/>
      </w:r>
      <w:r>
        <w:fldChar w:fldCharType="end"/>
      </w:r>
    </w:p>
    <w:p>
      <w:pPr>
        <w:pStyle w:val="12"/>
        <w:tabs>
          <w:tab w:val="right" w:leader="dot" w:pos="8312"/>
        </w:tabs>
        <w:spacing w:line="360" w:lineRule="auto"/>
      </w:pPr>
      <w:r>
        <w:fldChar w:fldCharType="begin"/>
      </w:r>
      <w:r>
        <w:instrText xml:space="preserve"> HYPERLINK \l _Toc15241 </w:instrText>
      </w:r>
      <w:r>
        <w:fldChar w:fldCharType="separate"/>
      </w:r>
      <w:r>
        <w:rPr>
          <w:rFonts w:hint="eastAsia"/>
        </w:rPr>
        <w:t>13 公告</w:t>
      </w:r>
      <w:r>
        <w:tab/>
      </w:r>
      <w:r>
        <w:fldChar w:fldCharType="begin"/>
      </w:r>
      <w:r>
        <w:instrText xml:space="preserve"> PAGEREF _Toc15241 \h </w:instrText>
      </w:r>
      <w:r>
        <w:fldChar w:fldCharType="separate"/>
      </w:r>
      <w:r>
        <w:t>20</w:t>
      </w:r>
      <w:r>
        <w:fldChar w:fldCharType="end"/>
      </w:r>
      <w:r>
        <w:fldChar w:fldCharType="end"/>
      </w:r>
    </w:p>
    <w:p>
      <w:pPr>
        <w:pStyle w:val="12"/>
        <w:tabs>
          <w:tab w:val="right" w:leader="dot" w:pos="8312"/>
        </w:tabs>
        <w:spacing w:line="360" w:lineRule="auto"/>
      </w:pPr>
      <w:r>
        <w:fldChar w:fldCharType="begin"/>
      </w:r>
      <w:r>
        <w:instrText xml:space="preserve"> HYPERLINK \l _Toc10467 </w:instrText>
      </w:r>
      <w:r>
        <w:fldChar w:fldCharType="separate"/>
      </w:r>
      <w:r>
        <w:rPr>
          <w:rFonts w:hint="eastAsia"/>
        </w:rPr>
        <w:t>14 附则</w:t>
      </w:r>
      <w:r>
        <w:tab/>
      </w:r>
      <w:r>
        <w:fldChar w:fldCharType="begin"/>
      </w:r>
      <w:r>
        <w:instrText xml:space="preserve"> PAGEREF _Toc10467 \h </w:instrText>
      </w:r>
      <w:r>
        <w:fldChar w:fldCharType="separate"/>
      </w:r>
      <w:r>
        <w:t>20</w:t>
      </w:r>
      <w:r>
        <w:fldChar w:fldCharType="end"/>
      </w:r>
      <w:r>
        <w:fldChar w:fldCharType="end"/>
      </w:r>
    </w:p>
    <w:p>
      <w:pPr>
        <w:spacing w:line="360" w:lineRule="auto"/>
      </w:pPr>
      <w:r>
        <w:fldChar w:fldCharType="end"/>
      </w: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pStyle w:val="14"/>
        <w:spacing w:before="0" w:after="0"/>
        <w:outlineLvl w:val="9"/>
        <w:rPr>
          <w:rFonts w:ascii="黑体" w:hAnsi="黑体" w:eastAsia="黑体"/>
          <w:b w:val="0"/>
          <w:sz w:val="36"/>
          <w:szCs w:val="36"/>
        </w:rPr>
      </w:pPr>
      <w:bookmarkStart w:id="0" w:name="_Toc440007487"/>
      <w:bookmarkStart w:id="1" w:name="_Toc444776326"/>
    </w:p>
    <w:p>
      <w:pPr>
        <w:pStyle w:val="14"/>
        <w:spacing w:before="0" w:after="0"/>
        <w:outlineLvl w:val="9"/>
        <w:rPr>
          <w:rFonts w:ascii="黑体" w:hAnsi="黑体" w:eastAsia="黑体"/>
          <w:b w:val="0"/>
          <w:sz w:val="48"/>
          <w:szCs w:val="48"/>
        </w:rPr>
      </w:pPr>
      <w:bookmarkStart w:id="2" w:name="_Toc37"/>
      <w:bookmarkStart w:id="3" w:name="_Toc28380"/>
      <w:bookmarkStart w:id="4" w:name="_Toc13945"/>
      <w:bookmarkStart w:id="5" w:name="_Toc18059"/>
      <w:r>
        <w:rPr>
          <w:rFonts w:hint="eastAsia" w:ascii="黑体" w:hAnsi="黑体" w:eastAsia="黑体"/>
          <w:b w:val="0"/>
          <w:sz w:val="36"/>
          <w:szCs w:val="36"/>
        </w:rPr>
        <w:t>社会责任管理体系认证实施方案</w:t>
      </w:r>
      <w:bookmarkEnd w:id="0"/>
      <w:bookmarkEnd w:id="1"/>
      <w:bookmarkEnd w:id="2"/>
      <w:bookmarkEnd w:id="3"/>
      <w:bookmarkEnd w:id="4"/>
      <w:bookmarkEnd w:id="5"/>
    </w:p>
    <w:p>
      <w:pPr>
        <w:spacing w:line="360" w:lineRule="auto"/>
        <w:ind w:firstLine="720" w:firstLineChars="200"/>
        <w:jc w:val="center"/>
        <w:rPr>
          <w:rFonts w:ascii="黑体" w:eastAsia="黑体"/>
          <w:sz w:val="36"/>
          <w:szCs w:val="36"/>
        </w:rPr>
      </w:pPr>
    </w:p>
    <w:p>
      <w:pPr>
        <w:pStyle w:val="2"/>
        <w:spacing w:line="360" w:lineRule="auto"/>
      </w:pPr>
      <w:bookmarkStart w:id="6" w:name="_Toc85103622"/>
      <w:bookmarkStart w:id="7" w:name="_Toc85256247"/>
      <w:bookmarkStart w:id="8" w:name="_Toc32420"/>
      <w:bookmarkStart w:id="9" w:name="_Toc85105511"/>
      <w:bookmarkStart w:id="10" w:name="_Toc185325622"/>
      <w:bookmarkStart w:id="11" w:name="_Toc9826"/>
      <w:bookmarkStart w:id="12" w:name="_Toc20308"/>
      <w:r>
        <w:t>1</w:t>
      </w:r>
      <w:r>
        <w:rPr>
          <w:rFonts w:hint="eastAsia"/>
        </w:rPr>
        <w:t xml:space="preserve"> 适用范围</w:t>
      </w:r>
      <w:bookmarkEnd w:id="6"/>
      <w:bookmarkEnd w:id="7"/>
      <w:bookmarkEnd w:id="8"/>
      <w:bookmarkEnd w:id="9"/>
      <w:bookmarkEnd w:id="10"/>
      <w:bookmarkEnd w:id="11"/>
      <w:bookmarkEnd w:id="12"/>
    </w:p>
    <w:p>
      <w:pPr>
        <w:spacing w:line="360" w:lineRule="auto"/>
        <w:ind w:firstLine="480" w:firstLineChars="200"/>
        <w:rPr>
          <w:rFonts w:ascii="宋体" w:hAnsi="宋体"/>
          <w:sz w:val="24"/>
        </w:rPr>
      </w:pPr>
      <w:r>
        <w:rPr>
          <w:rFonts w:hint="eastAsia" w:ascii="宋体" w:hAnsi="宋体"/>
          <w:sz w:val="24"/>
        </w:rPr>
        <w:t>本认证方案适用于方圆标志认证集团有限公司（以下简称：CQM）实施社会责任管理体系认证，满足第三方认证制度要求，作为提供认证服务的规范。必要时，在认证合同中补充相关的技术要求。</w:t>
      </w:r>
    </w:p>
    <w:p>
      <w:pPr>
        <w:spacing w:line="360" w:lineRule="auto"/>
        <w:ind w:firstLine="480" w:firstLineChars="200"/>
        <w:rPr>
          <w:sz w:val="24"/>
        </w:rPr>
      </w:pPr>
      <w:r>
        <w:rPr>
          <w:rFonts w:hint="eastAsia"/>
          <w:sz w:val="24"/>
        </w:rPr>
        <w:t>本认证方案在认证双方签订合同时予以确认和采用。</w:t>
      </w:r>
      <w:bookmarkStart w:id="13" w:name="_Toc85105512"/>
      <w:bookmarkStart w:id="14" w:name="_Toc33598902"/>
      <w:bookmarkStart w:id="15" w:name="_Toc85103623"/>
      <w:bookmarkStart w:id="16" w:name="_Toc33600411"/>
      <w:bookmarkStart w:id="17" w:name="_Toc33598531"/>
      <w:bookmarkStart w:id="18" w:name="_Toc33598962"/>
      <w:bookmarkStart w:id="19" w:name="_Toc85256248"/>
      <w:bookmarkStart w:id="20" w:name="_Toc33599577"/>
      <w:bookmarkStart w:id="21" w:name="_Toc33600362"/>
      <w:bookmarkStart w:id="22" w:name="_Toc33599704"/>
    </w:p>
    <w:p>
      <w:pPr>
        <w:spacing w:line="360" w:lineRule="auto"/>
        <w:ind w:firstLine="480" w:firstLineChars="200"/>
        <w:rPr>
          <w:sz w:val="24"/>
        </w:rPr>
      </w:pPr>
    </w:p>
    <w:p>
      <w:pPr>
        <w:pStyle w:val="2"/>
        <w:spacing w:line="360" w:lineRule="auto"/>
      </w:pPr>
      <w:bookmarkStart w:id="23" w:name="_Toc185325623"/>
      <w:bookmarkStart w:id="24" w:name="_Toc23821"/>
      <w:bookmarkStart w:id="25" w:name="_Toc17149"/>
      <w:bookmarkStart w:id="26" w:name="_Toc30174"/>
      <w:r>
        <w:rPr>
          <w:rFonts w:hint="eastAsia"/>
        </w:rPr>
        <w:t>2 认证模式</w:t>
      </w:r>
      <w:bookmarkEnd w:id="13"/>
      <w:bookmarkEnd w:id="14"/>
      <w:bookmarkEnd w:id="15"/>
      <w:bookmarkEnd w:id="16"/>
      <w:bookmarkEnd w:id="17"/>
      <w:bookmarkEnd w:id="18"/>
      <w:bookmarkEnd w:id="19"/>
      <w:bookmarkEnd w:id="20"/>
      <w:bookmarkEnd w:id="21"/>
      <w:bookmarkEnd w:id="22"/>
      <w:bookmarkEnd w:id="23"/>
      <w:bookmarkEnd w:id="24"/>
      <w:bookmarkEnd w:id="25"/>
      <w:bookmarkEnd w:id="26"/>
    </w:p>
    <w:p>
      <w:pPr>
        <w:spacing w:line="360" w:lineRule="auto"/>
        <w:ind w:firstLine="480" w:firstLineChars="200"/>
        <w:rPr>
          <w:rFonts w:ascii="宋体" w:hAnsi="宋体"/>
          <w:sz w:val="24"/>
        </w:rPr>
      </w:pPr>
      <w:r>
        <w:rPr>
          <w:rFonts w:hint="eastAsia" w:ascii="宋体" w:hAnsi="宋体"/>
          <w:sz w:val="24"/>
        </w:rPr>
        <w:t>CQM首先对受审核方的管理体系进行初次审核，经过评定，确认是否批准认证；通过认证之后，在认证证书的有效期内对获证客户的管理体系进行监督，确认是否持续满足认证要求。</w:t>
      </w:r>
      <w:bookmarkStart w:id="163" w:name="_GoBack"/>
      <w:bookmarkEnd w:id="163"/>
    </w:p>
    <w:p>
      <w:pPr>
        <w:spacing w:line="360" w:lineRule="auto"/>
        <w:ind w:firstLine="480" w:firstLineChars="200"/>
        <w:rPr>
          <w:rFonts w:ascii="宋体" w:hAnsi="宋体"/>
          <w:sz w:val="24"/>
        </w:rPr>
      </w:pPr>
    </w:p>
    <w:p>
      <w:pPr>
        <w:pStyle w:val="2"/>
        <w:spacing w:line="360" w:lineRule="auto"/>
      </w:pPr>
      <w:bookmarkStart w:id="27" w:name="_Toc12624"/>
      <w:bookmarkStart w:id="28" w:name="_Toc85103624"/>
      <w:bookmarkStart w:id="29" w:name="_Toc185325624"/>
      <w:bookmarkStart w:id="30" w:name="_Toc85256249"/>
      <w:bookmarkStart w:id="31" w:name="_Toc85105513"/>
      <w:bookmarkStart w:id="32" w:name="_Toc4248"/>
      <w:bookmarkStart w:id="33" w:name="_Toc13054"/>
      <w:r>
        <w:rPr>
          <w:rFonts w:hint="eastAsia"/>
        </w:rPr>
        <w:t>3 认证过程流程图</w:t>
      </w:r>
      <w:bookmarkEnd w:id="27"/>
      <w:bookmarkEnd w:id="28"/>
      <w:bookmarkEnd w:id="29"/>
      <w:bookmarkEnd w:id="30"/>
      <w:bookmarkEnd w:id="31"/>
      <w:bookmarkEnd w:id="32"/>
      <w:bookmarkEnd w:id="33"/>
    </w:p>
    <w:p>
      <w:pPr>
        <w:spacing w:line="360" w:lineRule="auto"/>
      </w:pPr>
      <w:r>
        <w:pict>
          <v:shape id="对象 26" o:spid="_x0000_s1026" o:spt="75" type="#_x0000_t75" style="position:absolute;left:0pt;margin-left:90.25pt;margin-top:9.4pt;height:308.75pt;width:244.5pt;z-index:251660288;mso-width-relative:page;mso-height-relative:page;" filled="f" o:preferrelative="t" stroked="f" coordsize="21600,21600">
            <v:path/>
            <v:fill on="f" focussize="0,0"/>
            <v:stroke on="f" joinstyle="miter"/>
            <v:imagedata r:id="rId9" o:title=""/>
            <o:lock v:ext="edit" aspectratio="t"/>
          </v:shape>
        </w:pic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pStyle w:val="2"/>
        <w:spacing w:line="360" w:lineRule="auto"/>
      </w:pPr>
      <w:bookmarkStart w:id="34" w:name="_Toc185325625"/>
      <w:bookmarkStart w:id="35" w:name="_Toc33600412"/>
      <w:bookmarkStart w:id="36" w:name="_Toc33598963"/>
      <w:bookmarkStart w:id="37" w:name="_Toc33599578"/>
      <w:bookmarkStart w:id="38" w:name="_Toc33598903"/>
      <w:bookmarkStart w:id="39" w:name="_Toc85103625"/>
      <w:bookmarkStart w:id="40" w:name="_Toc85256250"/>
      <w:bookmarkStart w:id="41" w:name="_Toc33599705"/>
      <w:bookmarkStart w:id="42" w:name="_Toc85105514"/>
      <w:bookmarkStart w:id="43" w:name="_Toc33598532"/>
      <w:bookmarkStart w:id="44" w:name="_Toc15986"/>
      <w:bookmarkStart w:id="45" w:name="_Toc13377"/>
      <w:bookmarkStart w:id="46" w:name="_Toc33600363"/>
      <w:bookmarkStart w:id="47" w:name="_Toc20245"/>
      <w:r>
        <w:rPr>
          <w:rFonts w:hint="eastAsia"/>
        </w:rPr>
        <w:t>4 认证申请</w:t>
      </w:r>
      <w:bookmarkEnd w:id="34"/>
      <w:bookmarkEnd w:id="35"/>
      <w:bookmarkEnd w:id="36"/>
      <w:bookmarkEnd w:id="37"/>
      <w:bookmarkEnd w:id="38"/>
      <w:bookmarkEnd w:id="39"/>
      <w:bookmarkEnd w:id="40"/>
      <w:bookmarkEnd w:id="41"/>
      <w:bookmarkEnd w:id="42"/>
      <w:bookmarkEnd w:id="43"/>
      <w:bookmarkEnd w:id="44"/>
      <w:bookmarkEnd w:id="45"/>
      <w:bookmarkEnd w:id="46"/>
      <w:bookmarkEnd w:id="47"/>
    </w:p>
    <w:p>
      <w:pPr>
        <w:spacing w:line="360" w:lineRule="auto"/>
        <w:rPr>
          <w:rFonts w:ascii="宋体" w:hAnsi="宋体" w:cs="宋体"/>
          <w:b/>
          <w:sz w:val="24"/>
        </w:rPr>
      </w:pPr>
      <w:r>
        <w:rPr>
          <w:rFonts w:hint="eastAsia" w:ascii="宋体" w:hAnsi="宋体" w:cs="宋体"/>
          <w:b/>
          <w:sz w:val="24"/>
        </w:rPr>
        <w:t>4.1认证申请的基本条件</w:t>
      </w:r>
    </w:p>
    <w:p>
      <w:pPr>
        <w:numPr>
          <w:ilvl w:val="0"/>
          <w:numId w:val="1"/>
        </w:numPr>
        <w:spacing w:line="360" w:lineRule="auto"/>
        <w:rPr>
          <w:rFonts w:ascii="宋体" w:hAnsi="宋体" w:cs="宋体"/>
          <w:color w:val="000000"/>
          <w:sz w:val="24"/>
        </w:rPr>
      </w:pPr>
      <w:r>
        <w:rPr>
          <w:rFonts w:hint="eastAsia" w:ascii="宋体" w:hAnsi="宋体" w:cs="宋体"/>
          <w:sz w:val="24"/>
        </w:rPr>
        <w:t>认证客户具有明确的法律地位,客户具有企业营业执照、事业单位法人证书、社会团体登记证书、非企业法人登记证书等，可独立申</w:t>
      </w:r>
      <w:r>
        <w:rPr>
          <w:rFonts w:hint="eastAsia" w:ascii="宋体" w:hAnsi="宋体" w:cs="宋体"/>
          <w:color w:val="000000"/>
          <w:sz w:val="24"/>
        </w:rPr>
        <w:t xml:space="preserve">请认证。其他类型的客户，应由具备资格的单位代为申请； </w:t>
      </w:r>
    </w:p>
    <w:p>
      <w:pPr>
        <w:numPr>
          <w:ilvl w:val="0"/>
          <w:numId w:val="1"/>
        </w:numPr>
        <w:spacing w:line="360" w:lineRule="auto"/>
        <w:rPr>
          <w:rFonts w:ascii="宋体" w:hAnsi="宋体"/>
          <w:color w:val="000000"/>
          <w:sz w:val="24"/>
        </w:rPr>
      </w:pPr>
      <w:r>
        <w:rPr>
          <w:rFonts w:hint="eastAsia" w:ascii="宋体" w:hAnsi="宋体" w:cs="宋体"/>
          <w:color w:val="000000"/>
          <w:sz w:val="24"/>
        </w:rPr>
        <w:t>国家、地方或行业有要求时，认证客户具有规定的行政许可文件</w:t>
      </w:r>
      <w:r>
        <w:rPr>
          <w:rFonts w:ascii="宋体" w:hAnsi="宋体" w:cs="宋体"/>
          <w:color w:val="000000"/>
          <w:sz w:val="24"/>
        </w:rPr>
        <w:t>,</w:t>
      </w:r>
      <w:r>
        <w:rPr>
          <w:rFonts w:hint="eastAsia" w:ascii="宋体" w:hAnsi="宋体" w:cs="宋体"/>
          <w:color w:val="000000"/>
          <w:sz w:val="24"/>
        </w:rPr>
        <w:t>其申请认证范围应在法律地位文件和行政许可文件核准的范围内；</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认证客户按相关的管理体系标准建立了文件化的管理体系。初次认证现场审核前已至少持续稳定运行了</w:t>
      </w:r>
      <w:r>
        <w:rPr>
          <w:rFonts w:ascii="宋体" w:hAnsi="宋体" w:cs="宋体"/>
          <w:color w:val="000000"/>
          <w:sz w:val="24"/>
        </w:rPr>
        <w:t>3</w:t>
      </w:r>
      <w:r>
        <w:rPr>
          <w:rFonts w:hint="eastAsia" w:ascii="宋体" w:hAnsi="宋体" w:cs="宋体"/>
          <w:color w:val="000000"/>
          <w:sz w:val="24"/>
        </w:rPr>
        <w:t>个月，至少已实施一次完整的内审和管理评审或已编制实施计划，并承诺在证书有效期内，持续有效运行管理体系；</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认证客户承诺遵守国家的法律、法规及其他要求,承诺始终遵守认证的有关规定，承担与认证有关的法律责任，并有义务协助认证监管部门的监督检查，对有关事项的询问和调查如实提供相关材料和信息；</w:t>
      </w:r>
    </w:p>
    <w:p>
      <w:pPr>
        <w:numPr>
          <w:ilvl w:val="0"/>
          <w:numId w:val="1"/>
        </w:numPr>
        <w:spacing w:line="360" w:lineRule="auto"/>
        <w:rPr>
          <w:rFonts w:ascii="宋体" w:hAnsi="宋体" w:cs="宋体"/>
          <w:color w:val="000000"/>
          <w:sz w:val="24"/>
        </w:rPr>
      </w:pPr>
      <w:r>
        <w:rPr>
          <w:rFonts w:hint="eastAsia" w:ascii="宋体" w:hAnsi="宋体" w:cs="宋体"/>
          <w:sz w:val="24"/>
        </w:rPr>
        <w:t>认证客户在一年内，未发生质量、环境、职业健康安全</w:t>
      </w:r>
      <w:r>
        <w:rPr>
          <w:rFonts w:hint="eastAsia" w:ascii="宋体" w:hAnsi="宋体" w:cs="方正仿宋简体"/>
          <w:sz w:val="24"/>
        </w:rPr>
        <w:t>事故或</w:t>
      </w:r>
      <w:r>
        <w:rPr>
          <w:rFonts w:hint="eastAsia" w:ascii="宋体" w:hAnsi="宋体" w:cs="宋体"/>
          <w:sz w:val="24"/>
        </w:rPr>
        <w:t>被执法监管部门责令停业整顿或在全国企业信用信息公示系统中被列入“严重违法企业名单”或</w:t>
      </w:r>
      <w:r>
        <w:rPr>
          <w:rFonts w:hint="eastAsia" w:ascii="宋体" w:hAnsi="宋体" w:cs="方正仿宋简体"/>
          <w:sz w:val="24"/>
        </w:rPr>
        <w:t>违反国家相关法规，虚报、瞒报获证所需信息的情况</w:t>
      </w:r>
      <w:r>
        <w:rPr>
          <w:rFonts w:hint="eastAsia" w:ascii="宋体" w:hAnsi="宋体"/>
          <w:sz w:val="24"/>
        </w:rPr>
        <w:t>；</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认证客户承诺获得CQM认证后，按规定使用认证证书和认证标志和有关信息，不得擅自利用管理体系认证证书的文字、符号误导公众认为其产品或服务通过认证按合同支付认证费用，并按规定接受监督；</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承诺获得CQM认证后，按照CQM要求向CQM通报管理体系变更的信息和其他可能影响管理体系持续满足认证标准要求的能力的事宜的信息，一般包括：客户及相关方有重大投诉；发生重大事故；相关情况发生变更（包括：法律地位、生产经营状况、组织状态或所有权变更、强制性认证或其他资质证书变更；法定代表人、最高管理者、管理者代表发生变更；生产经营或服务的工作场所变更；管理体系覆盖的活动范围变更；管理体系和重要过程的重大变更等）；出现影响管理体系运行的其他重要情况；</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认证审核期间，认证客户能够提供与拟认证范围相关的活动或过程；</w:t>
      </w:r>
    </w:p>
    <w:p>
      <w:pPr>
        <w:numPr>
          <w:ilvl w:val="0"/>
          <w:numId w:val="1"/>
        </w:numPr>
        <w:spacing w:line="360" w:lineRule="auto"/>
        <w:rPr>
          <w:rFonts w:ascii="宋体" w:hAnsi="宋体" w:cs="宋体"/>
          <w:color w:val="000000"/>
          <w:sz w:val="24"/>
        </w:rPr>
      </w:pPr>
      <w:r>
        <w:rPr>
          <w:rFonts w:hint="eastAsia" w:ascii="宋体" w:hAnsi="宋体" w:cs="宋体"/>
          <w:color w:val="000000"/>
          <w:sz w:val="24"/>
        </w:rPr>
        <w:t>在有要求时，接受CNAS的见证评审及确认审核并提供必要的支持。</w:t>
      </w:r>
    </w:p>
    <w:p>
      <w:pPr>
        <w:spacing w:line="360" w:lineRule="auto"/>
        <w:rPr>
          <w:rFonts w:ascii="宋体" w:hAnsi="宋体" w:cs="宋体"/>
          <w:b/>
          <w:sz w:val="24"/>
        </w:rPr>
      </w:pPr>
      <w:r>
        <w:rPr>
          <w:rFonts w:hint="eastAsia" w:ascii="宋体" w:hAnsi="宋体" w:cs="宋体"/>
          <w:b/>
          <w:sz w:val="24"/>
        </w:rPr>
        <w:t>4.2不予受理认证申请的情形</w:t>
      </w:r>
    </w:p>
    <w:p>
      <w:pPr>
        <w:numPr>
          <w:ilvl w:val="0"/>
          <w:numId w:val="2"/>
        </w:numPr>
        <w:spacing w:line="360" w:lineRule="auto"/>
        <w:rPr>
          <w:rFonts w:ascii="宋体" w:hAnsi="宋体" w:cs="宋体"/>
          <w:sz w:val="24"/>
        </w:rPr>
      </w:pPr>
      <w:r>
        <w:rPr>
          <w:rFonts w:hint="eastAsia" w:ascii="宋体" w:hAnsi="宋体" w:cs="宋体"/>
          <w:sz w:val="24"/>
        </w:rPr>
        <w:t>认证客户申请</w:t>
      </w:r>
      <w:r>
        <w:rPr>
          <w:rFonts w:ascii="宋体" w:hAnsi="宋体" w:cs="宋体"/>
          <w:sz w:val="24"/>
        </w:rPr>
        <w:t>的认证</w:t>
      </w:r>
      <w:r>
        <w:rPr>
          <w:rFonts w:hint="eastAsia" w:ascii="宋体" w:hAnsi="宋体" w:cs="宋体"/>
          <w:sz w:val="24"/>
        </w:rPr>
        <w:t>范围超出法律地位文件和行政认可文件核准的范围内的；</w:t>
      </w:r>
    </w:p>
    <w:p>
      <w:pPr>
        <w:numPr>
          <w:ilvl w:val="0"/>
          <w:numId w:val="2"/>
        </w:numPr>
        <w:spacing w:line="360" w:lineRule="auto"/>
        <w:rPr>
          <w:rFonts w:ascii="宋体" w:hAnsi="宋体" w:cs="宋体"/>
          <w:sz w:val="24"/>
        </w:rPr>
      </w:pPr>
      <w:r>
        <w:rPr>
          <w:rFonts w:hint="eastAsia" w:ascii="宋体" w:hAnsi="宋体" w:cs="宋体"/>
          <w:sz w:val="24"/>
        </w:rPr>
        <w:t>认证客户不满足4.1中其他相关要求或近一年内发生其他违反国家法律法规、行业规定的情形。</w:t>
      </w:r>
    </w:p>
    <w:p>
      <w:pPr>
        <w:numPr>
          <w:ilvl w:val="-1"/>
          <w:numId w:val="0"/>
        </w:numPr>
        <w:spacing w:line="360" w:lineRule="auto"/>
        <w:ind w:left="0" w:firstLine="0"/>
        <w:rPr>
          <w:rFonts w:ascii="宋体" w:hAnsi="宋体" w:cs="宋体"/>
          <w:sz w:val="24"/>
        </w:rPr>
      </w:pPr>
    </w:p>
    <w:p>
      <w:pPr>
        <w:pStyle w:val="2"/>
        <w:spacing w:line="360" w:lineRule="auto"/>
        <w:rPr>
          <w:rFonts w:ascii="宋体" w:hAnsi="宋体"/>
        </w:rPr>
      </w:pPr>
      <w:bookmarkStart w:id="48" w:name="_Toc185325626"/>
      <w:bookmarkStart w:id="49" w:name="_Toc12336"/>
      <w:bookmarkStart w:id="50" w:name="_Toc32662"/>
      <w:bookmarkStart w:id="51" w:name="_Toc3932"/>
      <w:r>
        <w:rPr>
          <w:rFonts w:hint="eastAsia" w:ascii="宋体" w:hAnsi="宋体"/>
        </w:rPr>
        <w:t>5 审核实施</w:t>
      </w:r>
      <w:bookmarkEnd w:id="48"/>
      <w:bookmarkEnd w:id="49"/>
      <w:bookmarkEnd w:id="50"/>
      <w:bookmarkEnd w:id="51"/>
    </w:p>
    <w:p>
      <w:pPr>
        <w:spacing w:line="360" w:lineRule="auto"/>
        <w:rPr>
          <w:rFonts w:ascii="宋体" w:hAnsi="宋体"/>
          <w:b/>
          <w:sz w:val="24"/>
        </w:rPr>
      </w:pPr>
      <w:r>
        <w:rPr>
          <w:rFonts w:hint="eastAsia" w:ascii="宋体" w:hAnsi="宋体"/>
          <w:b/>
          <w:sz w:val="24"/>
        </w:rPr>
        <w:t>5.1 审核准则</w:t>
      </w:r>
    </w:p>
    <w:p>
      <w:pPr>
        <w:spacing w:line="360" w:lineRule="auto"/>
        <w:ind w:firstLine="480" w:firstLineChars="200"/>
        <w:rPr>
          <w:rFonts w:ascii="宋体" w:hAnsi="宋体"/>
          <w:sz w:val="24"/>
        </w:rPr>
      </w:pPr>
      <w:r>
        <w:rPr>
          <w:rFonts w:hint="eastAsia" w:ascii="宋体" w:hAnsi="宋体"/>
          <w:sz w:val="24"/>
        </w:rPr>
        <w:t>认证双方确认的审核依据标准如下：</w:t>
      </w:r>
    </w:p>
    <w:p>
      <w:pPr>
        <w:spacing w:line="360" w:lineRule="auto"/>
        <w:ind w:firstLine="480" w:firstLineChars="200"/>
        <w:jc w:val="left"/>
        <w:rPr>
          <w:rFonts w:ascii="宋体" w:hAnsi="宋体"/>
          <w:color w:val="000000"/>
          <w:sz w:val="24"/>
        </w:rPr>
      </w:pPr>
      <w:r>
        <w:rPr>
          <w:rFonts w:hint="eastAsia" w:ascii="宋体" w:hAnsi="宋体"/>
          <w:bCs/>
          <w:sz w:val="24"/>
        </w:rPr>
        <w:t>GB/T 39604-2020《社会责任管理体系》</w:t>
      </w:r>
      <w:r>
        <w:rPr>
          <w:rFonts w:hint="eastAsia" w:ascii="宋体" w:hAnsi="宋体"/>
          <w:color w:val="000000"/>
          <w:sz w:val="24"/>
        </w:rPr>
        <w:t>；</w:t>
      </w:r>
    </w:p>
    <w:p>
      <w:pPr>
        <w:spacing w:line="360" w:lineRule="auto"/>
        <w:ind w:firstLine="480" w:firstLineChars="200"/>
        <w:jc w:val="left"/>
        <w:rPr>
          <w:rFonts w:ascii="宋体" w:hAnsi="宋体"/>
          <w:sz w:val="24"/>
        </w:rPr>
      </w:pPr>
      <w:r>
        <w:rPr>
          <w:rFonts w:hint="eastAsia" w:ascii="宋体" w:hAnsi="宋体"/>
          <w:sz w:val="24"/>
        </w:rPr>
        <w:t>审核准则还包括受审核方所适用的方针、程序、标准、法律法规、社会责任管理体系相关要求、合同要求或行业规范。</w:t>
      </w:r>
    </w:p>
    <w:p>
      <w:pPr>
        <w:spacing w:line="360" w:lineRule="auto"/>
        <w:ind w:firstLine="480" w:firstLineChars="200"/>
        <w:jc w:val="left"/>
        <w:rPr>
          <w:rFonts w:ascii="宋体" w:hAnsi="宋体"/>
          <w:sz w:val="24"/>
        </w:rPr>
      </w:pPr>
      <w:r>
        <w:rPr>
          <w:rFonts w:hint="eastAsia" w:ascii="宋体" w:hAnsi="宋体" w:cs="宋体"/>
          <w:sz w:val="24"/>
        </w:rPr>
        <w:t>上述标准更新时，使用更新版本。</w:t>
      </w:r>
    </w:p>
    <w:p>
      <w:pPr>
        <w:spacing w:line="360" w:lineRule="auto"/>
        <w:rPr>
          <w:rFonts w:ascii="宋体" w:hAnsi="宋体"/>
          <w:b/>
          <w:sz w:val="24"/>
        </w:rPr>
      </w:pPr>
      <w:r>
        <w:rPr>
          <w:rFonts w:hint="eastAsia" w:ascii="宋体" w:hAnsi="宋体"/>
          <w:b/>
          <w:sz w:val="24"/>
        </w:rPr>
        <w:t>5.2 审核过程</w:t>
      </w:r>
    </w:p>
    <w:p>
      <w:pPr>
        <w:spacing w:line="360" w:lineRule="auto"/>
        <w:jc w:val="left"/>
        <w:rPr>
          <w:rFonts w:ascii="宋体" w:hAnsi="宋体"/>
          <w:bCs/>
          <w:sz w:val="24"/>
        </w:rPr>
      </w:pPr>
      <w:r>
        <w:rPr>
          <w:rFonts w:hint="eastAsia" w:ascii="宋体" w:hAnsi="宋体"/>
          <w:bCs/>
          <w:sz w:val="24"/>
        </w:rPr>
        <w:t>5.</w:t>
      </w:r>
      <w:r>
        <w:rPr>
          <w:rFonts w:ascii="宋体" w:hAnsi="宋体"/>
          <w:bCs/>
          <w:sz w:val="24"/>
        </w:rPr>
        <w:t>2.1</w:t>
      </w:r>
      <w:r>
        <w:rPr>
          <w:rFonts w:hint="eastAsia" w:ascii="宋体" w:hAnsi="宋体"/>
          <w:bCs/>
          <w:sz w:val="24"/>
        </w:rPr>
        <w:t xml:space="preserve"> 初次认证审核</w:t>
      </w:r>
    </w:p>
    <w:p>
      <w:pPr>
        <w:spacing w:line="360" w:lineRule="auto"/>
        <w:ind w:firstLine="480" w:firstLineChars="200"/>
        <w:jc w:val="left"/>
        <w:rPr>
          <w:rFonts w:ascii="宋体" w:hAnsi="宋体"/>
          <w:sz w:val="24"/>
        </w:rPr>
      </w:pPr>
      <w:r>
        <w:rPr>
          <w:rFonts w:hint="eastAsia" w:ascii="宋体" w:hAnsi="宋体"/>
          <w:sz w:val="24"/>
        </w:rPr>
        <w:t>初次认证审核分两个阶段实施：第一阶段和第二阶段。</w:t>
      </w:r>
    </w:p>
    <w:p>
      <w:pPr>
        <w:spacing w:line="360" w:lineRule="auto"/>
        <w:ind w:firstLine="480" w:firstLineChars="200"/>
        <w:jc w:val="left"/>
        <w:rPr>
          <w:rFonts w:ascii="宋体" w:hAnsi="宋体"/>
          <w:sz w:val="24"/>
        </w:rPr>
      </w:pPr>
      <w:r>
        <w:rPr>
          <w:rFonts w:hint="eastAsia" w:ascii="宋体" w:hAnsi="宋体"/>
          <w:sz w:val="24"/>
        </w:rPr>
        <w:t>第一阶段审核的目的是了解受审核方的基本信息、审核管理体系文件，识别任何引起关注的、在第二阶段审核中可能被判定为不符合的问题，为第二阶段审核提供关注点。</w:t>
      </w:r>
    </w:p>
    <w:p>
      <w:pPr>
        <w:spacing w:line="360" w:lineRule="auto"/>
        <w:ind w:firstLine="480" w:firstLineChars="200"/>
        <w:jc w:val="left"/>
        <w:rPr>
          <w:rFonts w:ascii="宋体" w:hAnsi="宋体"/>
          <w:sz w:val="24"/>
        </w:rPr>
      </w:pPr>
      <w:r>
        <w:rPr>
          <w:rFonts w:hint="eastAsia" w:ascii="宋体" w:hAnsi="宋体"/>
          <w:sz w:val="24"/>
        </w:rPr>
        <w:t>第二阶段审核的目的是评价受审核方管理体系实施的符合性和有效性。</w:t>
      </w:r>
    </w:p>
    <w:p>
      <w:pPr>
        <w:spacing w:line="360" w:lineRule="auto"/>
        <w:ind w:firstLine="480" w:firstLineChars="200"/>
        <w:jc w:val="left"/>
        <w:rPr>
          <w:rFonts w:ascii="宋体" w:hAnsi="宋体"/>
          <w:color w:val="FF0000"/>
          <w:sz w:val="24"/>
        </w:rPr>
      </w:pPr>
      <w:r>
        <w:rPr>
          <w:rFonts w:hint="eastAsia" w:ascii="宋体" w:hAnsi="宋体"/>
          <w:sz w:val="24"/>
        </w:rPr>
        <w:t>审核组对在第一阶段和第二阶段审核中收集的所有信息和证据进行分析，以形成审核结论。</w:t>
      </w:r>
    </w:p>
    <w:p>
      <w:pPr>
        <w:spacing w:line="360" w:lineRule="auto"/>
        <w:rPr>
          <w:rFonts w:ascii="宋体" w:hAnsi="宋体"/>
          <w:bCs/>
          <w:sz w:val="24"/>
        </w:rPr>
      </w:pPr>
      <w:r>
        <w:rPr>
          <w:rFonts w:hint="eastAsia" w:ascii="宋体" w:hAnsi="宋体"/>
          <w:bCs/>
          <w:sz w:val="24"/>
        </w:rPr>
        <w:t>5.</w:t>
      </w:r>
      <w:r>
        <w:rPr>
          <w:rFonts w:ascii="宋体" w:hAnsi="宋体"/>
          <w:bCs/>
          <w:sz w:val="24"/>
        </w:rPr>
        <w:t>2</w:t>
      </w:r>
      <w:r>
        <w:rPr>
          <w:rFonts w:hint="eastAsia" w:ascii="宋体" w:hAnsi="宋体"/>
          <w:bCs/>
          <w:sz w:val="24"/>
        </w:rPr>
        <w:t>.1</w:t>
      </w:r>
      <w:r>
        <w:rPr>
          <w:rFonts w:ascii="宋体" w:hAnsi="宋体"/>
          <w:bCs/>
          <w:sz w:val="24"/>
        </w:rPr>
        <w:t>.1</w:t>
      </w:r>
      <w:r>
        <w:rPr>
          <w:rFonts w:hint="eastAsia" w:ascii="宋体" w:hAnsi="宋体"/>
          <w:bCs/>
          <w:sz w:val="24"/>
        </w:rPr>
        <w:t xml:space="preserve"> 第一阶段审核</w:t>
      </w:r>
    </w:p>
    <w:p>
      <w:pPr>
        <w:spacing w:line="360" w:lineRule="auto"/>
        <w:ind w:firstLine="480" w:firstLineChars="200"/>
        <w:jc w:val="left"/>
        <w:rPr>
          <w:rFonts w:ascii="宋体" w:hAnsi="宋体"/>
          <w:sz w:val="24"/>
        </w:rPr>
      </w:pPr>
      <w:r>
        <w:rPr>
          <w:rFonts w:hint="eastAsia" w:ascii="宋体" w:hAnsi="宋体"/>
          <w:sz w:val="24"/>
        </w:rPr>
        <w:t>审核组结合受审核方的管理体系运行目标和体系覆盖活动的专业特点，根据受审核方提供的管理体系文件、体系运作过程、运作场所和现场的具体情况、内部审核与管理评审策划和实施情况，确认受审核方对标准的理解和实施的程度、对目标的实现具有重要影响的关键点、相关的法律法规要求的遵守情况以及管理体系范围，以确定第二阶段审核安排。</w:t>
      </w:r>
    </w:p>
    <w:p>
      <w:pPr>
        <w:spacing w:line="360" w:lineRule="auto"/>
        <w:ind w:firstLine="480" w:firstLineChars="200"/>
        <w:jc w:val="left"/>
        <w:rPr>
          <w:rFonts w:hAnsi="宋体"/>
          <w:sz w:val="24"/>
        </w:rPr>
      </w:pPr>
      <w:r>
        <w:rPr>
          <w:rFonts w:hint="eastAsia" w:hAnsi="宋体"/>
          <w:sz w:val="24"/>
        </w:rPr>
        <w:t>第一阶段审核应侧重于组织的策划过程，审核的主要内容为：</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确认申请组织实际情况与社会责任管理体系文件描述的一致性，特别是体系文件中描述的产品和服务、部门设置和职责与权限、生产/服务/运营过程等是否与申请组织的实际情况相一致；</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审核申请组织理解和实施相关审核准则要求的情况，评价社会责任管理体系运行过程中是否实施了内部审核与管理评审，确认社会责任管理体系是否已运行并且超过3个月；</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确认申请组织建立的社会责任管理体系覆盖的活动内容和范围、体系覆盖范围内有效人数、过程和场所，遵守适用的法律法规及强制性标准的情况；</w:t>
      </w:r>
    </w:p>
    <w:p>
      <w:pPr>
        <w:numPr>
          <w:ilvl w:val="0"/>
          <w:numId w:val="3"/>
        </w:numPr>
        <w:spacing w:line="360" w:lineRule="auto"/>
        <w:ind w:left="839" w:leftChars="228" w:hanging="360" w:hangingChars="150"/>
        <w:rPr>
          <w:rFonts w:hAnsi="宋体"/>
          <w:sz w:val="24"/>
        </w:rPr>
      </w:pPr>
      <w:r>
        <w:rPr>
          <w:rFonts w:hAnsi="宋体"/>
          <w:sz w:val="24"/>
        </w:rPr>
        <w:t>通过现场</w:t>
      </w:r>
      <w:r>
        <w:rPr>
          <w:rFonts w:hint="eastAsia" w:hAnsi="宋体"/>
          <w:sz w:val="24"/>
        </w:rPr>
        <w:t>、</w:t>
      </w:r>
      <w:r>
        <w:rPr>
          <w:rFonts w:hAnsi="宋体"/>
          <w:sz w:val="24"/>
        </w:rPr>
        <w:t>企业信息公开渠道查询核实</w:t>
      </w:r>
      <w:r>
        <w:rPr>
          <w:rFonts w:hint="eastAsia" w:ascii="宋体" w:hAnsi="宋体"/>
          <w:sz w:val="24"/>
        </w:rPr>
        <w:t>认证客户</w:t>
      </w:r>
      <w:r>
        <w:rPr>
          <w:rFonts w:hint="eastAsia" w:hAnsi="宋体"/>
          <w:sz w:val="24"/>
        </w:rPr>
        <w:t>是否存在与社会责任相关的负面信息；</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结合社会责任管理体系覆盖范围识别对社会责任管理目标的实现具有重要影响的关键点，并结合其他因素，科学确定重要审核点；</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与申请组织讨论确定第二阶段审核安排。对社会责任管理体系文件不符合实际情况、相关体系运行尚未超过3个月或者无法证明超过3个月的，以及其他不具备二阶段审核条件的，不应实施二阶段审核。</w:t>
      </w:r>
    </w:p>
    <w:p>
      <w:pPr>
        <w:spacing w:line="360" w:lineRule="auto"/>
        <w:ind w:firstLine="480" w:firstLineChars="200"/>
        <w:rPr>
          <w:rFonts w:ascii="宋体" w:hAnsi="宋体"/>
          <w:kern w:val="0"/>
          <w:sz w:val="24"/>
        </w:rPr>
      </w:pPr>
      <w:r>
        <w:rPr>
          <w:rFonts w:hint="eastAsia" w:ascii="宋体" w:hAnsi="宋体"/>
          <w:kern w:val="0"/>
          <w:sz w:val="24"/>
        </w:rPr>
        <w:t>第一阶段审核实施后，</w:t>
      </w:r>
      <w:r>
        <w:rPr>
          <w:rFonts w:hint="eastAsia" w:ascii="宋体" w:hAnsi="宋体"/>
          <w:sz w:val="24"/>
        </w:rPr>
        <w:t>审核组在第一阶段审核提出的需要申请组织进行整改的问题已得到有效整改，并经审核组验证合格</w:t>
      </w:r>
      <w:r>
        <w:rPr>
          <w:rFonts w:hint="eastAsia" w:ascii="宋体" w:hAnsi="宋体"/>
          <w:kern w:val="0"/>
          <w:sz w:val="24"/>
        </w:rPr>
        <w:t>后可进入第二阶段审核。</w:t>
      </w:r>
    </w:p>
    <w:p>
      <w:pPr>
        <w:spacing w:line="360" w:lineRule="auto"/>
        <w:ind w:firstLine="480" w:firstLineChars="200"/>
        <w:jc w:val="left"/>
        <w:rPr>
          <w:rFonts w:ascii="宋体" w:hAnsi="宋体"/>
          <w:sz w:val="24"/>
        </w:rPr>
      </w:pPr>
      <w:r>
        <w:rPr>
          <w:rFonts w:hint="eastAsia" w:ascii="宋体" w:hAnsi="宋体"/>
          <w:sz w:val="24"/>
        </w:rPr>
        <w:t>如果发生任何将影响管理体系的重要变更，CQM可能将重复整个或部分第一阶段审核。第一阶段审核的结果可能导致推迟或取消第二阶段。</w:t>
      </w:r>
    </w:p>
    <w:p>
      <w:pPr>
        <w:spacing w:line="360" w:lineRule="auto"/>
        <w:rPr>
          <w:rFonts w:ascii="宋体" w:hAnsi="宋体"/>
          <w:bCs/>
          <w:sz w:val="24"/>
        </w:rPr>
      </w:pPr>
      <w:r>
        <w:rPr>
          <w:rFonts w:hint="eastAsia" w:ascii="宋体" w:hAnsi="宋体"/>
          <w:bCs/>
          <w:sz w:val="24"/>
        </w:rPr>
        <w:t>5.</w:t>
      </w:r>
      <w:r>
        <w:rPr>
          <w:rFonts w:ascii="宋体" w:hAnsi="宋体"/>
          <w:bCs/>
          <w:sz w:val="24"/>
        </w:rPr>
        <w:t>2</w:t>
      </w:r>
      <w:r>
        <w:rPr>
          <w:rFonts w:hint="eastAsia" w:ascii="宋体" w:hAnsi="宋体"/>
          <w:bCs/>
          <w:sz w:val="24"/>
        </w:rPr>
        <w:t>.</w:t>
      </w:r>
      <w:r>
        <w:rPr>
          <w:rFonts w:ascii="宋体" w:hAnsi="宋体"/>
          <w:bCs/>
          <w:sz w:val="24"/>
        </w:rPr>
        <w:t>1.</w:t>
      </w:r>
      <w:r>
        <w:rPr>
          <w:rFonts w:hint="eastAsia" w:ascii="宋体" w:hAnsi="宋体"/>
          <w:bCs/>
          <w:sz w:val="24"/>
        </w:rPr>
        <w:t>2 第二阶段审核</w:t>
      </w:r>
    </w:p>
    <w:p>
      <w:pPr>
        <w:spacing w:line="360" w:lineRule="auto"/>
        <w:ind w:firstLine="480" w:firstLineChars="200"/>
        <w:jc w:val="left"/>
        <w:rPr>
          <w:rFonts w:ascii="宋体" w:hAnsi="宋体"/>
          <w:sz w:val="24"/>
        </w:rPr>
      </w:pPr>
      <w:r>
        <w:rPr>
          <w:rFonts w:hint="eastAsia" w:ascii="宋体" w:hAnsi="宋体"/>
          <w:sz w:val="24"/>
        </w:rPr>
        <w:t>审核组现场评价受审核方管理体系的实施情况，包括符合性和有效性。第二阶段审核至少包括以下方面：</w:t>
      </w:r>
    </w:p>
    <w:p>
      <w:pPr>
        <w:numPr>
          <w:ilvl w:val="0"/>
          <w:numId w:val="4"/>
        </w:numPr>
        <w:spacing w:line="360" w:lineRule="auto"/>
        <w:jc w:val="left"/>
        <w:rPr>
          <w:rFonts w:ascii="宋体" w:hAnsi="宋体"/>
          <w:sz w:val="24"/>
        </w:rPr>
      </w:pPr>
      <w:r>
        <w:rPr>
          <w:rFonts w:hint="eastAsia" w:ascii="宋体" w:hAnsi="宋体"/>
          <w:sz w:val="24"/>
        </w:rPr>
        <w:t>与适用的管理体系标准和其他规范性文件的所有要求的符合情况；</w:t>
      </w:r>
    </w:p>
    <w:p>
      <w:pPr>
        <w:numPr>
          <w:ilvl w:val="0"/>
          <w:numId w:val="4"/>
        </w:numPr>
        <w:spacing w:line="360" w:lineRule="auto"/>
        <w:jc w:val="left"/>
        <w:rPr>
          <w:rFonts w:ascii="宋体" w:hAnsi="宋体"/>
          <w:sz w:val="24"/>
        </w:rPr>
      </w:pPr>
      <w:r>
        <w:rPr>
          <w:rFonts w:hint="eastAsia" w:ascii="宋体" w:hAnsi="宋体"/>
          <w:sz w:val="24"/>
        </w:rPr>
        <w:t>目标完成情况，依据关键绩效目标和指标，对绩效进行的监视、测量、报告和评审；</w:t>
      </w:r>
    </w:p>
    <w:p>
      <w:pPr>
        <w:numPr>
          <w:ilvl w:val="0"/>
          <w:numId w:val="4"/>
        </w:numPr>
        <w:spacing w:line="360" w:lineRule="auto"/>
        <w:jc w:val="left"/>
        <w:rPr>
          <w:rFonts w:ascii="宋体" w:hAnsi="宋体"/>
          <w:sz w:val="24"/>
        </w:rPr>
      </w:pPr>
      <w:r>
        <w:rPr>
          <w:rFonts w:hint="eastAsia" w:ascii="宋体" w:hAnsi="宋体"/>
          <w:sz w:val="24"/>
        </w:rPr>
        <w:t>受审核方过程的运作控制</w:t>
      </w:r>
    </w:p>
    <w:p>
      <w:pPr>
        <w:numPr>
          <w:ilvl w:val="0"/>
          <w:numId w:val="4"/>
        </w:numPr>
        <w:spacing w:line="360" w:lineRule="auto"/>
        <w:jc w:val="left"/>
        <w:rPr>
          <w:rFonts w:ascii="宋体" w:hAnsi="宋体"/>
          <w:sz w:val="24"/>
        </w:rPr>
      </w:pPr>
      <w:r>
        <w:rPr>
          <w:rFonts w:hint="eastAsia" w:ascii="宋体" w:hAnsi="宋体"/>
          <w:sz w:val="24"/>
        </w:rPr>
        <w:t>管理体系和绩效中与遵守法律有关的方面；</w:t>
      </w:r>
    </w:p>
    <w:p>
      <w:pPr>
        <w:numPr>
          <w:ilvl w:val="0"/>
          <w:numId w:val="4"/>
        </w:numPr>
        <w:spacing w:line="360" w:lineRule="auto"/>
        <w:jc w:val="left"/>
        <w:rPr>
          <w:rFonts w:ascii="宋体" w:hAnsi="宋体"/>
          <w:sz w:val="24"/>
        </w:rPr>
      </w:pPr>
      <w:r>
        <w:rPr>
          <w:rFonts w:hint="eastAsia" w:ascii="宋体" w:hAnsi="宋体"/>
          <w:sz w:val="24"/>
        </w:rPr>
        <w:t>管理职责的落实，包括针对方针的管理职责；</w:t>
      </w:r>
    </w:p>
    <w:p>
      <w:pPr>
        <w:numPr>
          <w:ilvl w:val="0"/>
          <w:numId w:val="4"/>
        </w:numPr>
        <w:spacing w:line="360" w:lineRule="auto"/>
        <w:jc w:val="left"/>
        <w:rPr>
          <w:rFonts w:ascii="宋体" w:hAnsi="宋体"/>
          <w:sz w:val="24"/>
        </w:rPr>
      </w:pPr>
      <w:r>
        <w:rPr>
          <w:rFonts w:hint="eastAsia" w:ascii="宋体" w:hAnsi="宋体"/>
          <w:sz w:val="24"/>
        </w:rPr>
        <w:t>为实现总目标而建立的职能层次目标的策划和实现情况</w:t>
      </w:r>
    </w:p>
    <w:p>
      <w:pPr>
        <w:numPr>
          <w:ilvl w:val="0"/>
          <w:numId w:val="4"/>
        </w:numPr>
        <w:spacing w:line="360" w:lineRule="auto"/>
        <w:jc w:val="left"/>
        <w:rPr>
          <w:rFonts w:ascii="宋体" w:hAnsi="宋体"/>
          <w:sz w:val="24"/>
        </w:rPr>
      </w:pPr>
      <w:r>
        <w:rPr>
          <w:rFonts w:hint="eastAsia" w:ascii="宋体" w:hAnsi="宋体"/>
          <w:sz w:val="24"/>
        </w:rPr>
        <w:t>内部审核和管理评审实施情况；</w:t>
      </w:r>
    </w:p>
    <w:p>
      <w:pPr>
        <w:numPr>
          <w:ilvl w:val="0"/>
          <w:numId w:val="4"/>
        </w:numPr>
        <w:spacing w:line="360" w:lineRule="auto"/>
        <w:jc w:val="left"/>
        <w:rPr>
          <w:rFonts w:hint="eastAsia" w:ascii="宋体" w:hAnsi="宋体"/>
          <w:sz w:val="24"/>
        </w:rPr>
      </w:pPr>
      <w:r>
        <w:rPr>
          <w:rFonts w:hint="eastAsia" w:ascii="宋体" w:hAnsi="宋体"/>
          <w:sz w:val="24"/>
        </w:rPr>
        <w:t>规范性要求、方针、绩效目标和指标、适用的法律要求、职责、人员能力、运作、程序、绩效数据和内部审核发现及结论之间的联系；</w:t>
      </w:r>
    </w:p>
    <w:p>
      <w:pPr>
        <w:numPr>
          <w:ilvl w:val="0"/>
          <w:numId w:val="4"/>
        </w:numPr>
        <w:spacing w:line="360" w:lineRule="auto"/>
        <w:jc w:val="left"/>
        <w:rPr>
          <w:rFonts w:ascii="宋体" w:hAnsi="宋体"/>
          <w:sz w:val="24"/>
        </w:rPr>
      </w:pPr>
      <w:r>
        <w:rPr>
          <w:rFonts w:hint="eastAsia" w:ascii="宋体" w:hAnsi="宋体"/>
          <w:sz w:val="24"/>
        </w:rPr>
        <w:t>适用时，社会责任报告。</w:t>
      </w:r>
    </w:p>
    <w:p>
      <w:pPr>
        <w:spacing w:line="360" w:lineRule="auto"/>
        <w:ind w:firstLine="480" w:firstLineChars="200"/>
        <w:jc w:val="left"/>
        <w:rPr>
          <w:rFonts w:ascii="宋体" w:hAnsi="宋体"/>
          <w:color w:val="000000"/>
          <w:sz w:val="24"/>
        </w:rPr>
      </w:pPr>
      <w:r>
        <w:rPr>
          <w:rFonts w:hint="eastAsia" w:hAnsi="宋体"/>
          <w:bCs/>
          <w:color w:val="000000"/>
          <w:sz w:val="24"/>
        </w:rPr>
        <w:t>如果认证客户不能在初次认证第二阶段结束后的规定时间内按要求关闭不符合，CQM将</w:t>
      </w:r>
      <w:r>
        <w:rPr>
          <w:rFonts w:hint="eastAsia" w:hAnsi="宋体"/>
          <w:color w:val="000000"/>
          <w:sz w:val="24"/>
        </w:rPr>
        <w:t>再实施一次第二阶段审核或不批准认证。</w:t>
      </w:r>
    </w:p>
    <w:p>
      <w:pPr>
        <w:spacing w:line="360" w:lineRule="auto"/>
        <w:jc w:val="left"/>
        <w:rPr>
          <w:rFonts w:ascii="宋体" w:hAnsi="宋体"/>
          <w:bCs/>
          <w:sz w:val="24"/>
        </w:rPr>
      </w:pPr>
      <w:r>
        <w:rPr>
          <w:rFonts w:hint="eastAsia" w:ascii="宋体" w:hAnsi="宋体"/>
          <w:bCs/>
          <w:sz w:val="24"/>
        </w:rPr>
        <w:t>5.</w:t>
      </w:r>
      <w:r>
        <w:rPr>
          <w:rFonts w:ascii="宋体" w:hAnsi="宋体"/>
          <w:bCs/>
          <w:sz w:val="24"/>
        </w:rPr>
        <w:t>2.2</w:t>
      </w:r>
      <w:r>
        <w:rPr>
          <w:rFonts w:hint="eastAsia" w:ascii="宋体" w:hAnsi="宋体"/>
          <w:bCs/>
          <w:sz w:val="24"/>
        </w:rPr>
        <w:t xml:space="preserve"> 监督活动</w:t>
      </w:r>
    </w:p>
    <w:p>
      <w:pPr>
        <w:spacing w:line="360" w:lineRule="auto"/>
        <w:rPr>
          <w:rFonts w:ascii="宋体" w:hAnsi="宋体"/>
          <w:bCs/>
          <w:sz w:val="24"/>
        </w:rPr>
      </w:pPr>
      <w:bookmarkStart w:id="52" w:name="_Toc85256268"/>
      <w:bookmarkStart w:id="53" w:name="_Toc85103642"/>
      <w:bookmarkStart w:id="54" w:name="_Toc85105532"/>
      <w:r>
        <w:rPr>
          <w:rFonts w:hint="eastAsia" w:ascii="宋体" w:hAnsi="宋体"/>
          <w:bCs/>
          <w:sz w:val="24"/>
        </w:rPr>
        <w:t>5.</w:t>
      </w:r>
      <w:r>
        <w:rPr>
          <w:rFonts w:ascii="宋体" w:hAnsi="宋体"/>
          <w:bCs/>
          <w:sz w:val="24"/>
        </w:rPr>
        <w:t>2.2</w:t>
      </w:r>
      <w:r>
        <w:rPr>
          <w:rFonts w:hint="eastAsia" w:ascii="宋体" w:hAnsi="宋体"/>
          <w:bCs/>
          <w:sz w:val="24"/>
        </w:rPr>
        <w:t>.1 监督活动的方式</w:t>
      </w:r>
      <w:bookmarkEnd w:id="52"/>
      <w:bookmarkEnd w:id="53"/>
      <w:bookmarkEnd w:id="54"/>
    </w:p>
    <w:p>
      <w:pPr>
        <w:spacing w:line="360" w:lineRule="auto"/>
        <w:ind w:firstLine="480" w:firstLineChars="200"/>
        <w:rPr>
          <w:rFonts w:ascii="宋体" w:hAnsi="宋体"/>
          <w:sz w:val="24"/>
        </w:rPr>
      </w:pPr>
      <w:r>
        <w:rPr>
          <w:rFonts w:hint="eastAsia" w:ascii="宋体" w:hAnsi="宋体"/>
          <w:sz w:val="24"/>
        </w:rPr>
        <w:t>CQM采用现场监督审核和日常监督</w:t>
      </w:r>
      <w:r>
        <w:rPr>
          <w:rFonts w:hint="eastAsia"/>
          <w:sz w:val="24"/>
        </w:rPr>
        <w:t>（如关注国家有关部门发布的信息公报、关注获证客户相关方的信息、获证客户有关信息的日常跟踪、审查获证客户及其运作的说明、要求获证客户提供文件和记录等）</w:t>
      </w:r>
      <w:r>
        <w:rPr>
          <w:rFonts w:hint="eastAsia" w:ascii="宋体" w:hAnsi="宋体"/>
          <w:sz w:val="24"/>
        </w:rPr>
        <w:t>相结合的方式。</w:t>
      </w:r>
    </w:p>
    <w:p>
      <w:pPr>
        <w:spacing w:line="360" w:lineRule="auto"/>
        <w:rPr>
          <w:rFonts w:ascii="宋体" w:hAnsi="宋体"/>
          <w:bCs/>
          <w:sz w:val="24"/>
        </w:rPr>
      </w:pPr>
      <w:bookmarkStart w:id="55" w:name="_Toc85256266"/>
      <w:bookmarkStart w:id="56" w:name="_Toc85103640"/>
      <w:bookmarkStart w:id="57" w:name="_Toc85105530"/>
      <w:r>
        <w:rPr>
          <w:rFonts w:hint="eastAsia" w:ascii="宋体" w:hAnsi="宋体"/>
          <w:bCs/>
          <w:sz w:val="24"/>
        </w:rPr>
        <w:t>5.</w:t>
      </w:r>
      <w:r>
        <w:rPr>
          <w:rFonts w:ascii="宋体" w:hAnsi="宋体"/>
          <w:bCs/>
          <w:sz w:val="24"/>
        </w:rPr>
        <w:t>2</w:t>
      </w:r>
      <w:r>
        <w:rPr>
          <w:rFonts w:hint="eastAsia" w:ascii="宋体" w:hAnsi="宋体"/>
          <w:bCs/>
          <w:sz w:val="24"/>
        </w:rPr>
        <w:t>.</w:t>
      </w:r>
      <w:r>
        <w:rPr>
          <w:rFonts w:ascii="宋体" w:hAnsi="宋体"/>
          <w:bCs/>
          <w:sz w:val="24"/>
        </w:rPr>
        <w:t>2.</w:t>
      </w:r>
      <w:r>
        <w:rPr>
          <w:rFonts w:hint="eastAsia" w:ascii="宋体" w:hAnsi="宋体"/>
          <w:bCs/>
          <w:sz w:val="24"/>
        </w:rPr>
        <w:t>2 获证后监督审核的内容</w:t>
      </w:r>
      <w:bookmarkEnd w:id="55"/>
      <w:bookmarkEnd w:id="56"/>
      <w:bookmarkEnd w:id="57"/>
    </w:p>
    <w:p>
      <w:pPr>
        <w:numPr>
          <w:ilvl w:val="0"/>
          <w:numId w:val="5"/>
        </w:numPr>
        <w:spacing w:line="360" w:lineRule="auto"/>
        <w:jc w:val="left"/>
        <w:rPr>
          <w:rFonts w:ascii="宋体" w:hAnsi="宋体"/>
          <w:sz w:val="24"/>
        </w:rPr>
      </w:pPr>
      <w:r>
        <w:rPr>
          <w:rFonts w:hint="eastAsia" w:ascii="宋体" w:hAnsi="宋体"/>
          <w:sz w:val="24"/>
        </w:rPr>
        <w:t>任何变更（如资源、过程、组织结构、已识别的关键控制点等）；</w:t>
      </w:r>
    </w:p>
    <w:p>
      <w:pPr>
        <w:numPr>
          <w:ilvl w:val="0"/>
          <w:numId w:val="5"/>
        </w:numPr>
        <w:spacing w:line="360" w:lineRule="auto"/>
        <w:jc w:val="left"/>
        <w:rPr>
          <w:rFonts w:ascii="宋体" w:hAnsi="宋体"/>
          <w:sz w:val="24"/>
        </w:rPr>
      </w:pPr>
      <w:r>
        <w:rPr>
          <w:rFonts w:hint="eastAsia" w:ascii="宋体" w:hAnsi="宋体"/>
          <w:sz w:val="24"/>
        </w:rPr>
        <w:t>持续的运作控制社会责任目标的实现情况；</w:t>
      </w:r>
    </w:p>
    <w:p>
      <w:pPr>
        <w:numPr>
          <w:ilvl w:val="0"/>
          <w:numId w:val="5"/>
        </w:numPr>
        <w:spacing w:line="360" w:lineRule="auto"/>
        <w:jc w:val="left"/>
        <w:rPr>
          <w:rFonts w:ascii="宋体" w:hAnsi="宋体"/>
          <w:sz w:val="24"/>
        </w:rPr>
      </w:pPr>
      <w:r>
        <w:rPr>
          <w:rFonts w:hint="eastAsia" w:ascii="宋体" w:hAnsi="宋体"/>
          <w:sz w:val="24"/>
        </w:rPr>
        <w:t>适用的法律法规持续符合情况；</w:t>
      </w:r>
    </w:p>
    <w:p>
      <w:pPr>
        <w:numPr>
          <w:ilvl w:val="0"/>
          <w:numId w:val="5"/>
        </w:numPr>
        <w:spacing w:line="360" w:lineRule="auto"/>
        <w:jc w:val="left"/>
        <w:rPr>
          <w:rFonts w:ascii="宋体" w:hAnsi="宋体"/>
          <w:sz w:val="24"/>
        </w:rPr>
      </w:pPr>
      <w:r>
        <w:rPr>
          <w:rFonts w:hint="eastAsia" w:ascii="宋体" w:hAnsi="宋体"/>
          <w:sz w:val="24"/>
        </w:rPr>
        <w:t>内部审核和管理评审；</w:t>
      </w:r>
    </w:p>
    <w:p>
      <w:pPr>
        <w:numPr>
          <w:ilvl w:val="0"/>
          <w:numId w:val="5"/>
        </w:numPr>
        <w:spacing w:line="360" w:lineRule="auto"/>
        <w:jc w:val="left"/>
        <w:rPr>
          <w:rFonts w:ascii="宋体" w:hAnsi="宋体"/>
          <w:sz w:val="24"/>
        </w:rPr>
      </w:pPr>
      <w:r>
        <w:rPr>
          <w:rFonts w:hint="eastAsia" w:ascii="宋体" w:hAnsi="宋体"/>
          <w:sz w:val="24"/>
        </w:rPr>
        <w:t>针对社会责任体系运行中发现的问题或投诉，制定并实施了有效的改进措施；</w:t>
      </w:r>
    </w:p>
    <w:p>
      <w:pPr>
        <w:numPr>
          <w:ilvl w:val="0"/>
          <w:numId w:val="5"/>
        </w:numPr>
        <w:spacing w:line="360" w:lineRule="auto"/>
        <w:jc w:val="left"/>
        <w:rPr>
          <w:rFonts w:ascii="宋体" w:hAnsi="宋体"/>
          <w:sz w:val="24"/>
        </w:rPr>
      </w:pPr>
      <w:r>
        <w:rPr>
          <w:rFonts w:hint="eastAsia" w:ascii="宋体" w:hAnsi="宋体"/>
          <w:sz w:val="24"/>
        </w:rPr>
        <w:t>管理体系实施的有效性；</w:t>
      </w:r>
    </w:p>
    <w:p>
      <w:pPr>
        <w:numPr>
          <w:ilvl w:val="0"/>
          <w:numId w:val="5"/>
        </w:numPr>
        <w:spacing w:line="360" w:lineRule="auto"/>
        <w:jc w:val="left"/>
        <w:rPr>
          <w:rFonts w:ascii="宋体" w:hAnsi="宋体"/>
          <w:sz w:val="24"/>
        </w:rPr>
      </w:pPr>
      <w:r>
        <w:rPr>
          <w:rFonts w:hint="eastAsia" w:ascii="宋体" w:hAnsi="宋体"/>
          <w:sz w:val="24"/>
        </w:rPr>
        <w:t>为持续改进而策划的活动的进展；</w:t>
      </w:r>
    </w:p>
    <w:p>
      <w:pPr>
        <w:numPr>
          <w:ilvl w:val="0"/>
          <w:numId w:val="5"/>
        </w:numPr>
        <w:spacing w:line="360" w:lineRule="auto"/>
        <w:jc w:val="left"/>
        <w:rPr>
          <w:rFonts w:ascii="宋体" w:hAnsi="宋体"/>
          <w:sz w:val="24"/>
        </w:rPr>
      </w:pPr>
      <w:r>
        <w:rPr>
          <w:rFonts w:hint="eastAsia" w:ascii="宋体" w:hAnsi="宋体"/>
          <w:sz w:val="24"/>
        </w:rPr>
        <w:t>针对上次审核中确定的不符合所采取的措施和效果；</w:t>
      </w:r>
    </w:p>
    <w:p>
      <w:pPr>
        <w:numPr>
          <w:ilvl w:val="0"/>
          <w:numId w:val="5"/>
        </w:numPr>
        <w:spacing w:line="360" w:lineRule="auto"/>
        <w:jc w:val="left"/>
        <w:rPr>
          <w:rFonts w:hint="eastAsia" w:ascii="宋体" w:hAnsi="宋体"/>
          <w:sz w:val="24"/>
        </w:rPr>
      </w:pPr>
      <w:r>
        <w:rPr>
          <w:rFonts w:hint="eastAsia" w:ascii="宋体" w:hAnsi="宋体"/>
          <w:sz w:val="24"/>
        </w:rPr>
        <w:t>证书和标志的使用和（或）任何其他对认证资格的引用；</w:t>
      </w:r>
    </w:p>
    <w:p>
      <w:pPr>
        <w:numPr>
          <w:ilvl w:val="0"/>
          <w:numId w:val="5"/>
        </w:numPr>
        <w:spacing w:line="360" w:lineRule="auto"/>
        <w:jc w:val="left"/>
        <w:rPr>
          <w:rFonts w:ascii="宋体" w:hAnsi="宋体"/>
          <w:sz w:val="24"/>
        </w:rPr>
      </w:pPr>
      <w:r>
        <w:rPr>
          <w:rFonts w:hint="eastAsia" w:ascii="宋体" w:hAnsi="宋体"/>
          <w:sz w:val="24"/>
        </w:rPr>
        <w:t>适用时，社会责任报告。</w:t>
      </w:r>
    </w:p>
    <w:p>
      <w:pPr>
        <w:spacing w:line="360" w:lineRule="auto"/>
        <w:ind w:left="480"/>
        <w:rPr>
          <w:rFonts w:ascii="宋体" w:hAnsi="宋体"/>
          <w:sz w:val="24"/>
        </w:rPr>
      </w:pPr>
      <w:r>
        <w:rPr>
          <w:rFonts w:hint="eastAsia" w:ascii="宋体" w:hAnsi="宋体"/>
          <w:sz w:val="24"/>
        </w:rPr>
        <w:t>获证客户应保存全部投诉记录，需要时提供认证机构。</w:t>
      </w:r>
    </w:p>
    <w:p>
      <w:pPr>
        <w:pStyle w:val="6"/>
        <w:spacing w:line="360" w:lineRule="auto"/>
        <w:ind w:firstLine="480"/>
        <w:rPr>
          <w:sz w:val="24"/>
          <w:szCs w:val="24"/>
        </w:rPr>
      </w:pPr>
      <w:r>
        <w:rPr>
          <w:rFonts w:hint="eastAsia"/>
          <w:sz w:val="24"/>
          <w:szCs w:val="24"/>
        </w:rPr>
        <w:t>CQM根据以上</w:t>
      </w:r>
      <w:bookmarkStart w:id="58" w:name="_Toc33600432"/>
      <w:bookmarkStart w:id="59" w:name="_Toc33600388"/>
      <w:bookmarkStart w:id="60" w:name="_Toc33599725"/>
      <w:bookmarkStart w:id="61" w:name="_Toc33599598"/>
      <w:r>
        <w:rPr>
          <w:rFonts w:hint="eastAsia"/>
          <w:sz w:val="24"/>
          <w:szCs w:val="24"/>
        </w:rPr>
        <w:t>信息对获证客户管理体系进行再评价，确认其是否持续满足认证要求。</w:t>
      </w:r>
    </w:p>
    <w:p>
      <w:pPr>
        <w:pStyle w:val="6"/>
        <w:spacing w:line="360" w:lineRule="auto"/>
        <w:ind w:firstLine="480"/>
        <w:rPr>
          <w:sz w:val="24"/>
          <w:szCs w:val="24"/>
        </w:rPr>
      </w:pPr>
      <w:r>
        <w:rPr>
          <w:rFonts w:hint="eastAsia"/>
          <w:sz w:val="24"/>
          <w:szCs w:val="24"/>
        </w:rPr>
        <w:t>监督审核时，如认证客户没有按时关闭不符合，将可能导致认证证书的暂停或撤销。</w:t>
      </w:r>
    </w:p>
    <w:p>
      <w:pPr>
        <w:spacing w:line="360" w:lineRule="auto"/>
        <w:rPr>
          <w:rFonts w:ascii="宋体" w:hAnsi="宋体"/>
          <w:bCs/>
          <w:sz w:val="24"/>
        </w:rPr>
      </w:pPr>
      <w:bookmarkStart w:id="62" w:name="_Toc85256267"/>
      <w:bookmarkStart w:id="63" w:name="_Toc85103641"/>
      <w:bookmarkStart w:id="64" w:name="_Toc85105531"/>
      <w:r>
        <w:rPr>
          <w:rFonts w:hint="eastAsia" w:ascii="宋体" w:hAnsi="宋体"/>
          <w:bCs/>
          <w:sz w:val="24"/>
        </w:rPr>
        <w:t>5.</w:t>
      </w:r>
      <w:r>
        <w:rPr>
          <w:rFonts w:ascii="宋体" w:hAnsi="宋体"/>
          <w:bCs/>
          <w:sz w:val="24"/>
        </w:rPr>
        <w:t>2</w:t>
      </w:r>
      <w:r>
        <w:rPr>
          <w:rFonts w:hint="eastAsia" w:ascii="宋体" w:hAnsi="宋体"/>
          <w:bCs/>
          <w:sz w:val="24"/>
        </w:rPr>
        <w:t>.2</w:t>
      </w:r>
      <w:r>
        <w:rPr>
          <w:rFonts w:ascii="宋体" w:hAnsi="宋体"/>
          <w:bCs/>
          <w:sz w:val="24"/>
        </w:rPr>
        <w:t>.</w:t>
      </w:r>
      <w:r>
        <w:rPr>
          <w:rFonts w:hint="eastAsia" w:ascii="宋体" w:hAnsi="宋体"/>
          <w:bCs/>
          <w:sz w:val="24"/>
        </w:rPr>
        <w:t>3 监督审核的频次</w:t>
      </w:r>
      <w:bookmarkEnd w:id="58"/>
      <w:bookmarkEnd w:id="59"/>
      <w:bookmarkEnd w:id="60"/>
      <w:bookmarkEnd w:id="61"/>
      <w:bookmarkEnd w:id="62"/>
      <w:bookmarkEnd w:id="63"/>
      <w:bookmarkEnd w:id="64"/>
    </w:p>
    <w:p>
      <w:pPr>
        <w:spacing w:line="360" w:lineRule="auto"/>
        <w:ind w:left="-1" w:leftChars="-1" w:hanging="1"/>
        <w:rPr>
          <w:rFonts w:ascii="宋体" w:hAnsi="宋体" w:cs="宋体"/>
          <w:kern w:val="0"/>
          <w:sz w:val="24"/>
        </w:rPr>
      </w:pPr>
      <w:r>
        <w:rPr>
          <w:rFonts w:hint="eastAsia" w:ascii="宋体" w:hAnsi="宋体"/>
          <w:sz w:val="24"/>
        </w:rPr>
        <w:t xml:space="preserve">    在证书有效期内，获证客户须接受监督审核，监督审核应至少每个日历年（应进行再认证的年份除外）进行一次。初次认证/再认证后的第一次监督审核应在认证决定日期起</w:t>
      </w:r>
      <w:r>
        <w:rPr>
          <w:rFonts w:ascii="宋体" w:hAnsi="宋体" w:cs="Arial"/>
          <w:sz w:val="24"/>
        </w:rPr>
        <w:t>12</w:t>
      </w:r>
      <w:r>
        <w:rPr>
          <w:rFonts w:hint="eastAsia" w:ascii="宋体" w:hAnsi="宋体"/>
          <w:sz w:val="24"/>
        </w:rPr>
        <w:t>个月内进行；</w:t>
      </w:r>
      <w:r>
        <w:rPr>
          <w:rFonts w:hint="eastAsia" w:ascii="宋体" w:hAnsi="宋体" w:cs="宋体"/>
          <w:kern w:val="0"/>
          <w:sz w:val="24"/>
        </w:rPr>
        <w:t>此后，监督审核应至少每个日历年（应进行再认证的年份除外）进行一次，且两次监督审核的时间间隔不得超过12个月。</w:t>
      </w:r>
    </w:p>
    <w:p>
      <w:pPr>
        <w:spacing w:line="360" w:lineRule="auto"/>
        <w:ind w:left="-2" w:leftChars="-1" w:firstLine="480" w:firstLineChars="200"/>
        <w:rPr>
          <w:rFonts w:ascii="宋体" w:hAnsi="宋体"/>
          <w:sz w:val="24"/>
        </w:rPr>
      </w:pPr>
      <w:r>
        <w:rPr>
          <w:rFonts w:hint="eastAsia" w:ascii="宋体" w:hAnsi="宋体"/>
          <w:sz w:val="24"/>
        </w:rPr>
        <w:t>获证客户因未在规定的时间内实施监督审核而暂停认证证书的，监督审核恢复后，下次审核时间应按原计划时间计算。</w:t>
      </w:r>
    </w:p>
    <w:p>
      <w:pPr>
        <w:spacing w:line="360" w:lineRule="auto"/>
        <w:ind w:left="-2" w:leftChars="-1" w:firstLine="480" w:firstLineChars="200"/>
        <w:rPr>
          <w:rFonts w:ascii="宋体" w:hAnsi="宋体"/>
          <w:sz w:val="24"/>
        </w:rPr>
      </w:pPr>
      <w:r>
        <w:rPr>
          <w:rFonts w:hint="eastAsia" w:ascii="宋体" w:hAnsi="宋体"/>
          <w:sz w:val="24"/>
        </w:rPr>
        <w:t>若发生下述情况则需增加监督频次，或安排提前较短时间通知的审核：</w:t>
      </w:r>
    </w:p>
    <w:p>
      <w:pPr>
        <w:numPr>
          <w:ilvl w:val="0"/>
          <w:numId w:val="6"/>
        </w:numPr>
        <w:spacing w:line="360" w:lineRule="auto"/>
        <w:ind w:left="878" w:hanging="398"/>
        <w:rPr>
          <w:rFonts w:ascii="宋体" w:hAnsi="宋体"/>
          <w:sz w:val="24"/>
        </w:rPr>
      </w:pPr>
      <w:r>
        <w:rPr>
          <w:rFonts w:hint="eastAsia" w:ascii="宋体" w:hAnsi="宋体"/>
          <w:sz w:val="24"/>
        </w:rPr>
        <w:t>获证客户对管理体系进行了重大更改；</w:t>
      </w:r>
    </w:p>
    <w:p>
      <w:pPr>
        <w:pStyle w:val="6"/>
        <w:numPr>
          <w:ilvl w:val="0"/>
          <w:numId w:val="6"/>
        </w:numPr>
        <w:spacing w:line="360" w:lineRule="auto"/>
        <w:ind w:left="878" w:hanging="398" w:firstLineChars="0"/>
        <w:rPr>
          <w:sz w:val="24"/>
          <w:szCs w:val="24"/>
        </w:rPr>
      </w:pPr>
      <w:r>
        <w:rPr>
          <w:rFonts w:hint="eastAsia"/>
          <w:sz w:val="24"/>
          <w:szCs w:val="24"/>
        </w:rPr>
        <w:t>有足够信息表明获证客户发生了组织机构、生产条件、产品变更等影响到其认证基础的更改；</w:t>
      </w:r>
    </w:p>
    <w:p>
      <w:pPr>
        <w:pStyle w:val="6"/>
        <w:numPr>
          <w:ilvl w:val="0"/>
          <w:numId w:val="6"/>
        </w:numPr>
        <w:spacing w:line="360" w:lineRule="auto"/>
        <w:ind w:left="878" w:hanging="398" w:firstLineChars="0"/>
        <w:rPr>
          <w:sz w:val="24"/>
          <w:szCs w:val="24"/>
        </w:rPr>
      </w:pPr>
      <w:r>
        <w:rPr>
          <w:rFonts w:hint="eastAsia"/>
          <w:sz w:val="24"/>
          <w:szCs w:val="24"/>
        </w:rPr>
        <w:t>获证客户出现重大事故或用户提出对相关管理体系运行效果的投诉未得到处理时；</w:t>
      </w:r>
    </w:p>
    <w:p>
      <w:pPr>
        <w:pStyle w:val="6"/>
        <w:numPr>
          <w:ilvl w:val="0"/>
          <w:numId w:val="6"/>
        </w:numPr>
        <w:spacing w:line="360" w:lineRule="auto"/>
        <w:ind w:left="878" w:hanging="398" w:firstLineChars="0"/>
        <w:rPr>
          <w:sz w:val="24"/>
          <w:szCs w:val="24"/>
        </w:rPr>
      </w:pPr>
      <w:r>
        <w:rPr>
          <w:rFonts w:hint="eastAsia"/>
          <w:sz w:val="24"/>
          <w:szCs w:val="24"/>
          <w:lang w:val="en-GB"/>
        </w:rPr>
        <w:t>获证客户被国家行政主管部门在监督抽查中被查出不合格时</w:t>
      </w:r>
      <w:r>
        <w:rPr>
          <w:rFonts w:hint="eastAsia"/>
          <w:sz w:val="24"/>
          <w:szCs w:val="24"/>
        </w:rPr>
        <w:t>；</w:t>
      </w:r>
    </w:p>
    <w:p>
      <w:pPr>
        <w:pStyle w:val="6"/>
        <w:numPr>
          <w:ilvl w:val="0"/>
          <w:numId w:val="6"/>
        </w:numPr>
        <w:spacing w:line="360" w:lineRule="auto"/>
        <w:ind w:left="878" w:hanging="398" w:firstLineChars="0"/>
        <w:rPr>
          <w:sz w:val="24"/>
          <w:szCs w:val="24"/>
        </w:rPr>
      </w:pPr>
      <w:r>
        <w:rPr>
          <w:rFonts w:hint="eastAsia"/>
          <w:sz w:val="24"/>
          <w:szCs w:val="24"/>
        </w:rPr>
        <w:t>其他需要考虑的情况。</w:t>
      </w:r>
    </w:p>
    <w:p>
      <w:pPr>
        <w:spacing w:line="360" w:lineRule="auto"/>
        <w:jc w:val="left"/>
        <w:rPr>
          <w:rFonts w:ascii="宋体" w:hAnsi="宋体"/>
          <w:bCs/>
          <w:sz w:val="24"/>
        </w:rPr>
      </w:pPr>
      <w:r>
        <w:rPr>
          <w:rFonts w:hint="eastAsia" w:ascii="宋体" w:hAnsi="宋体"/>
          <w:bCs/>
          <w:sz w:val="24"/>
        </w:rPr>
        <w:t>5.</w:t>
      </w:r>
      <w:r>
        <w:rPr>
          <w:rFonts w:ascii="宋体" w:hAnsi="宋体"/>
          <w:bCs/>
          <w:sz w:val="24"/>
        </w:rPr>
        <w:t>2.3</w:t>
      </w:r>
      <w:r>
        <w:rPr>
          <w:rFonts w:hint="eastAsia" w:ascii="宋体" w:hAnsi="宋体"/>
          <w:bCs/>
          <w:sz w:val="24"/>
        </w:rPr>
        <w:t xml:space="preserve"> 再认证</w:t>
      </w:r>
    </w:p>
    <w:p>
      <w:pPr>
        <w:pStyle w:val="6"/>
        <w:spacing w:line="360" w:lineRule="auto"/>
        <w:ind w:firstLine="480"/>
        <w:rPr>
          <w:color w:val="auto"/>
          <w:sz w:val="24"/>
          <w:szCs w:val="24"/>
        </w:rPr>
      </w:pPr>
      <w:r>
        <w:rPr>
          <w:rFonts w:hint="eastAsia"/>
          <w:color w:val="auto"/>
          <w:sz w:val="24"/>
          <w:szCs w:val="24"/>
        </w:rPr>
        <w:t>获证客户在证书有效期满前至少三个月，须提出再认证申请。再认证审核的目的是验证作为一个整体的组织管理体系全面的持续符合性和有效性，以及认证范围的持续相关性和适宜性。再认证审核的程序和要求参照5.2.1条实施。</w:t>
      </w:r>
      <w:r>
        <w:rPr>
          <w:rFonts w:hint="eastAsia"/>
          <w:sz w:val="24"/>
        </w:rPr>
        <w:t>再认证时通常可不进行一阶段审核，但当获证客户的管理体系和获证客户的内外部运作环境有重大变化时，再认证审核活动可能需要有第一阶段审核。</w:t>
      </w:r>
    </w:p>
    <w:p>
      <w:pPr>
        <w:pStyle w:val="6"/>
        <w:spacing w:line="360" w:lineRule="auto"/>
        <w:ind w:firstLine="480"/>
        <w:rPr>
          <w:sz w:val="24"/>
        </w:rPr>
      </w:pPr>
      <w:r>
        <w:rPr>
          <w:rFonts w:hint="eastAsia"/>
          <w:color w:val="auto"/>
          <w:sz w:val="24"/>
          <w:szCs w:val="24"/>
        </w:rPr>
        <w:t>在对获证客户的日常监督中，发现获证客户的出现影响管理体系运作的重大变更时，或对获证客户的投诉分析和其他信息表明获证客户管理体系可能存在较大问题时，将安排特殊审核或与获证客户商定提前安排再认证审核。</w:t>
      </w:r>
    </w:p>
    <w:p>
      <w:pPr>
        <w:spacing w:line="360" w:lineRule="auto"/>
        <w:ind w:firstLine="480" w:firstLineChars="200"/>
        <w:rPr>
          <w:rFonts w:ascii="宋体" w:hAnsi="宋体"/>
          <w:bCs/>
          <w:color w:val="000000"/>
          <w:sz w:val="24"/>
        </w:rPr>
      </w:pPr>
      <w:r>
        <w:rPr>
          <w:rFonts w:hint="eastAsia" w:ascii="宋体" w:hAnsi="宋体"/>
          <w:bCs/>
          <w:color w:val="000000"/>
          <w:sz w:val="24"/>
        </w:rPr>
        <w:t>再认证审核时，认证客户应在当前认证证书到期前接受CQM审核，并对于审核组开具的不符合在规定的时间内按要求关闭。否则，因认证客户的原因导致CQM不能在原认证证书到期后6个月内作出认证决定的，再认证审核失效。</w:t>
      </w:r>
    </w:p>
    <w:p>
      <w:pPr>
        <w:spacing w:line="360" w:lineRule="auto"/>
        <w:jc w:val="left"/>
        <w:rPr>
          <w:rFonts w:ascii="宋体" w:hAnsi="宋体"/>
          <w:bCs/>
          <w:sz w:val="24"/>
        </w:rPr>
      </w:pPr>
      <w:r>
        <w:rPr>
          <w:rFonts w:hint="eastAsia" w:ascii="宋体" w:hAnsi="宋体"/>
          <w:bCs/>
          <w:sz w:val="24"/>
        </w:rPr>
        <w:t>5</w:t>
      </w:r>
      <w:r>
        <w:rPr>
          <w:rFonts w:ascii="宋体" w:hAnsi="宋体"/>
          <w:bCs/>
          <w:sz w:val="24"/>
        </w:rPr>
        <w:t xml:space="preserve">.2.4 </w:t>
      </w:r>
      <w:r>
        <w:rPr>
          <w:rFonts w:hint="eastAsia" w:ascii="宋体" w:hAnsi="宋体"/>
          <w:bCs/>
          <w:sz w:val="24"/>
        </w:rPr>
        <w:t>特殊审核</w:t>
      </w:r>
    </w:p>
    <w:p>
      <w:pPr>
        <w:spacing w:line="360" w:lineRule="auto"/>
        <w:rPr>
          <w:rFonts w:ascii="宋体" w:hAnsi="宋体"/>
          <w:bCs/>
          <w:sz w:val="24"/>
        </w:rPr>
      </w:pPr>
      <w:r>
        <w:rPr>
          <w:rFonts w:ascii="宋体" w:hAnsi="宋体"/>
          <w:bCs/>
          <w:sz w:val="24"/>
        </w:rPr>
        <w:t xml:space="preserve">5.2.4.1 </w:t>
      </w:r>
      <w:r>
        <w:rPr>
          <w:rFonts w:hint="eastAsia" w:ascii="宋体" w:hAnsi="宋体"/>
          <w:bCs/>
          <w:sz w:val="24"/>
        </w:rPr>
        <w:t>扩大认证范围审核</w:t>
      </w:r>
    </w:p>
    <w:p>
      <w:pPr>
        <w:pStyle w:val="6"/>
        <w:spacing w:line="360" w:lineRule="auto"/>
        <w:ind w:firstLine="480"/>
        <w:rPr>
          <w:sz w:val="24"/>
          <w:szCs w:val="24"/>
          <w:lang w:val="en-GB"/>
        </w:rPr>
      </w:pPr>
      <w:r>
        <w:rPr>
          <w:rFonts w:hint="eastAsia"/>
          <w:sz w:val="24"/>
          <w:szCs w:val="24"/>
          <w:lang w:val="en-GB"/>
        </w:rPr>
        <w:t>针对已获证的客户，CQM对扩大认证范围的申请进行评审，确定能否予以扩大的决定所需的审核活动，这一工作可与监督审核同时进行。</w:t>
      </w:r>
    </w:p>
    <w:p>
      <w:pPr>
        <w:spacing w:line="360" w:lineRule="auto"/>
        <w:rPr>
          <w:rFonts w:ascii="宋体" w:hAnsi="宋体"/>
          <w:bCs/>
          <w:sz w:val="24"/>
        </w:rPr>
      </w:pPr>
      <w:r>
        <w:rPr>
          <w:rFonts w:ascii="宋体" w:hAnsi="宋体"/>
          <w:bCs/>
          <w:sz w:val="24"/>
        </w:rPr>
        <w:t>5.2.4.2</w:t>
      </w:r>
      <w:r>
        <w:rPr>
          <w:rFonts w:hint="eastAsia" w:ascii="宋体" w:hAnsi="宋体"/>
          <w:bCs/>
          <w:sz w:val="24"/>
        </w:rPr>
        <w:t xml:space="preserve"> 提前较短时间通知的审核</w:t>
      </w:r>
    </w:p>
    <w:p>
      <w:pPr>
        <w:spacing w:line="360" w:lineRule="auto"/>
        <w:ind w:firstLine="523" w:firstLineChars="218"/>
        <w:rPr>
          <w:lang w:val="en-GB"/>
        </w:rPr>
      </w:pPr>
      <w:r>
        <w:rPr>
          <w:rFonts w:hint="eastAsia"/>
          <w:sz w:val="24"/>
          <w:lang w:val="en-GB"/>
        </w:rPr>
        <w:t>为调查投诉、对变更做出回应或对被暂停的获证客户进行追踪，需要在提前较短时间通知获证客户后对其进行的审核。</w:t>
      </w:r>
    </w:p>
    <w:p>
      <w:pPr>
        <w:spacing w:line="360" w:lineRule="auto"/>
        <w:ind w:firstLine="480" w:firstLineChars="200"/>
        <w:rPr>
          <w:lang w:val="en-GB"/>
        </w:rPr>
      </w:pPr>
      <w:r>
        <w:rPr>
          <w:rFonts w:hint="eastAsia"/>
          <w:sz w:val="24"/>
          <w:lang w:val="en-GB"/>
        </w:rPr>
        <w:t>获证客户的产品和服务被国家行政主管部门在监督抽查中被查出不合格时，CQM将对获证客户实施特殊审核。如获证客户不接受特殊审核，认证证书将被暂停。</w:t>
      </w:r>
    </w:p>
    <w:p>
      <w:pPr>
        <w:spacing w:line="360" w:lineRule="auto"/>
        <w:rPr>
          <w:rFonts w:ascii="宋体" w:hAnsi="宋体"/>
          <w:b/>
          <w:sz w:val="24"/>
        </w:rPr>
      </w:pPr>
      <w:r>
        <w:rPr>
          <w:rFonts w:hint="eastAsia" w:ascii="宋体" w:hAnsi="宋体"/>
          <w:b/>
          <w:sz w:val="24"/>
        </w:rPr>
        <w:t>5.3 现场审核活动实施</w:t>
      </w:r>
    </w:p>
    <w:p>
      <w:pPr>
        <w:spacing w:line="360" w:lineRule="auto"/>
        <w:ind w:firstLine="480"/>
        <w:jc w:val="left"/>
        <w:rPr>
          <w:rFonts w:ascii="宋体" w:hAnsi="宋体"/>
          <w:sz w:val="24"/>
        </w:rPr>
      </w:pPr>
      <w:r>
        <w:rPr>
          <w:rFonts w:hint="eastAsia" w:ascii="宋体" w:hAnsi="宋体"/>
          <w:sz w:val="24"/>
        </w:rPr>
        <w:t>审核组在现场审核前与受审核方沟通，确认审核安排，说明首末次会议议程。</w:t>
      </w:r>
    </w:p>
    <w:p>
      <w:pPr>
        <w:spacing w:line="360" w:lineRule="auto"/>
        <w:ind w:firstLine="480"/>
        <w:jc w:val="left"/>
        <w:rPr>
          <w:rFonts w:ascii="宋体" w:hAnsi="宋体"/>
          <w:sz w:val="24"/>
        </w:rPr>
      </w:pPr>
      <w:r>
        <w:rPr>
          <w:rFonts w:hint="eastAsia" w:ascii="宋体" w:hAnsi="宋体"/>
          <w:sz w:val="24"/>
        </w:rPr>
        <w:t>审核组按照审核计划中日程安排实施审核，通过查阅受审核方的文件和记录、与过程和活动的岗位人员面谈、座谈、观察产品、服务形成过程和活动等适当方法，抽样收集并验证有关的信息，形成审核发现，确认不符合情况。</w:t>
      </w:r>
    </w:p>
    <w:p>
      <w:pPr>
        <w:spacing w:line="360" w:lineRule="auto"/>
        <w:ind w:firstLine="480"/>
        <w:jc w:val="left"/>
        <w:rPr>
          <w:rFonts w:ascii="宋体" w:hAnsi="宋体"/>
          <w:sz w:val="24"/>
        </w:rPr>
      </w:pPr>
      <w:r>
        <w:rPr>
          <w:rFonts w:hint="eastAsia" w:ascii="宋体" w:hAnsi="宋体"/>
          <w:sz w:val="24"/>
        </w:rPr>
        <w:t>在审核过程中，审核组及时与受审核方沟通，通报审核进程，确认审核证据，解决分歧。当审核发现表明不能达到审核目的时，应说明理由，商定后续措施。如果需要改变审核目的和范围或终止审核时，应经审核派出机构评审和批准后实施。</w:t>
      </w:r>
    </w:p>
    <w:p>
      <w:pPr>
        <w:spacing w:line="360" w:lineRule="auto"/>
        <w:ind w:firstLine="480"/>
        <w:jc w:val="left"/>
        <w:rPr>
          <w:rFonts w:ascii="宋体" w:hAnsi="宋体"/>
          <w:sz w:val="24"/>
        </w:rPr>
      </w:pPr>
      <w:r>
        <w:rPr>
          <w:rFonts w:hint="eastAsia" w:ascii="宋体" w:hAnsi="宋体"/>
          <w:sz w:val="24"/>
        </w:rPr>
        <w:t>审核组长在现场审核结束前，与受审核方沟通现场审核的信息，请受审核方对发现的问题和不符合报告进行确认，并商定对不符合的后续措施的安排，确认审核结论。审核组编制审核报告并提交受审核方。</w:t>
      </w:r>
    </w:p>
    <w:p>
      <w:pPr>
        <w:spacing w:line="360" w:lineRule="auto"/>
        <w:ind w:firstLine="480"/>
        <w:jc w:val="left"/>
        <w:rPr>
          <w:rFonts w:ascii="宋体" w:hAnsi="宋体"/>
          <w:sz w:val="24"/>
        </w:rPr>
      </w:pPr>
      <w:r>
        <w:rPr>
          <w:rFonts w:hint="eastAsia" w:ascii="宋体" w:hAnsi="宋体"/>
          <w:sz w:val="24"/>
        </w:rPr>
        <w:t>审核报告属CQM所有，如果在审核后续活动中（含CQM进行认证决定期间）有所更改，CQM将重新向受审核方提供审核报告。请受审核方妥善保管审核报告、不符合报告及其纠正材料等相应材料。</w:t>
      </w:r>
    </w:p>
    <w:p>
      <w:pPr>
        <w:spacing w:line="360" w:lineRule="auto"/>
        <w:ind w:firstLine="480"/>
        <w:jc w:val="left"/>
        <w:rPr>
          <w:rFonts w:ascii="宋体" w:hAnsi="宋体"/>
          <w:sz w:val="24"/>
        </w:rPr>
      </w:pPr>
    </w:p>
    <w:p>
      <w:pPr>
        <w:pStyle w:val="2"/>
        <w:spacing w:line="360" w:lineRule="auto"/>
        <w:rPr>
          <w:color w:val="000000"/>
        </w:rPr>
      </w:pPr>
      <w:bookmarkStart w:id="65" w:name="_Toc85105515"/>
      <w:bookmarkStart w:id="66" w:name="_Toc85256251"/>
      <w:bookmarkStart w:id="67" w:name="_Toc85103626"/>
      <w:bookmarkStart w:id="68" w:name="_Toc185325630"/>
      <w:bookmarkStart w:id="69" w:name="_Toc26391"/>
      <w:bookmarkStart w:id="70" w:name="_Toc27452"/>
      <w:bookmarkStart w:id="71" w:name="_Toc9238"/>
      <w:bookmarkStart w:id="72" w:name="_Toc33600413"/>
      <w:bookmarkStart w:id="73" w:name="_Toc33598904"/>
      <w:bookmarkStart w:id="74" w:name="_Toc33599706"/>
      <w:bookmarkStart w:id="75" w:name="_Toc33599579"/>
      <w:bookmarkStart w:id="76" w:name="_Toc33598533"/>
      <w:bookmarkStart w:id="77" w:name="_Toc33598964"/>
      <w:bookmarkStart w:id="78" w:name="_Toc33600364"/>
      <w:r>
        <w:rPr>
          <w:rFonts w:hint="eastAsia"/>
        </w:rPr>
        <w:t>6 认证的批</w:t>
      </w:r>
      <w:r>
        <w:rPr>
          <w:rFonts w:hint="eastAsia"/>
          <w:color w:val="000000"/>
        </w:rPr>
        <w:t>准、拒绝、保持、扩大、缩小、暂停、恢复和撤销的条件</w:t>
      </w:r>
      <w:bookmarkEnd w:id="65"/>
      <w:bookmarkEnd w:id="66"/>
      <w:bookmarkEnd w:id="67"/>
      <w:r>
        <w:rPr>
          <w:rFonts w:hint="eastAsia"/>
          <w:color w:val="000000"/>
        </w:rPr>
        <w:t>和程序</w:t>
      </w:r>
      <w:bookmarkEnd w:id="68"/>
      <w:bookmarkEnd w:id="69"/>
      <w:bookmarkEnd w:id="70"/>
      <w:bookmarkEnd w:id="71"/>
    </w:p>
    <w:p>
      <w:pPr>
        <w:spacing w:line="360" w:lineRule="auto"/>
        <w:rPr>
          <w:rFonts w:ascii="宋体" w:hAnsi="宋体"/>
          <w:b/>
          <w:sz w:val="24"/>
        </w:rPr>
      </w:pPr>
      <w:r>
        <w:rPr>
          <w:rFonts w:hint="eastAsia" w:ascii="宋体" w:hAnsi="宋体"/>
          <w:b/>
          <w:sz w:val="24"/>
        </w:rPr>
        <w:t>6.1</w:t>
      </w:r>
      <w:r>
        <w:rPr>
          <w:rFonts w:hint="eastAsia" w:ascii="宋体" w:hAnsi="宋体"/>
          <w:b/>
          <w:color w:val="000000"/>
          <w:sz w:val="24"/>
        </w:rPr>
        <w:t>批准认证范围的条件和程序</w:t>
      </w:r>
    </w:p>
    <w:p>
      <w:pPr>
        <w:spacing w:line="360" w:lineRule="auto"/>
        <w:rPr>
          <w:rFonts w:ascii="宋体" w:hAnsi="宋体"/>
          <w:bCs/>
          <w:color w:val="000000"/>
          <w:sz w:val="24"/>
        </w:rPr>
      </w:pPr>
      <w:r>
        <w:rPr>
          <w:rFonts w:hint="eastAsia" w:ascii="宋体" w:hAnsi="宋体"/>
          <w:bCs/>
          <w:color w:val="000000"/>
          <w:sz w:val="24"/>
        </w:rPr>
        <w:t>6.1.1 批准认证注册的条件</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认证客户的申请材料真实、准确、有效；</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认证客户建立和实施的相关管理体系符合认证标准/规范性文件要求，审核组提出推荐认证的结论意见；</w:t>
      </w:r>
    </w:p>
    <w:p>
      <w:pPr>
        <w:numPr>
          <w:ilvl w:val="0"/>
          <w:numId w:val="7"/>
        </w:numPr>
        <w:adjustRightInd w:val="0"/>
        <w:spacing w:line="360" w:lineRule="auto"/>
        <w:ind w:left="714" w:hanging="357"/>
        <w:rPr>
          <w:rFonts w:ascii="宋体" w:hAnsi="宋体"/>
          <w:sz w:val="24"/>
        </w:rPr>
      </w:pPr>
      <w:r>
        <w:rPr>
          <w:rFonts w:hint="eastAsia" w:ascii="宋体" w:hAnsi="宋体"/>
          <w:sz w:val="24"/>
        </w:rPr>
        <w:t>认证客户申请认证范围在法律地位文件和资质规定的范围内；认证客户在认证申请范围覆盖的经营活动不存在重大风险；</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国家或地方或行业有要求时，认证客户申请认证范围内的组织单元、产品、服务及其过程和活动已满足适用的法律法规的要求；</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审核证据表明管理评审和内部审核的安排已实施、有效且得到保持，并已进行了一次覆盖管理体系所有要求的完整内部审核；</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审核中发现的不合格在规定期限内已经采取纠正</w:t>
      </w:r>
      <w:r>
        <w:rPr>
          <w:rFonts w:ascii="宋体" w:hAnsi="宋体"/>
          <w:sz w:val="24"/>
        </w:rPr>
        <w:t>/</w:t>
      </w:r>
      <w:r>
        <w:rPr>
          <w:rFonts w:hint="eastAsia" w:ascii="宋体" w:hAnsi="宋体"/>
          <w:sz w:val="24"/>
        </w:rPr>
        <w:t>纠正措施，经CQM验证有效。</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至少近一年来，认证客户申请认证范围内未发生失信行为或国家检查不合格；</w:t>
      </w:r>
    </w:p>
    <w:p>
      <w:pPr>
        <w:numPr>
          <w:ilvl w:val="0"/>
          <w:numId w:val="7"/>
        </w:numPr>
        <w:adjustRightInd w:val="0"/>
        <w:snapToGrid w:val="0"/>
        <w:spacing w:line="360" w:lineRule="auto"/>
        <w:rPr>
          <w:rFonts w:ascii="宋体" w:hAnsi="宋体"/>
          <w:sz w:val="24"/>
        </w:rPr>
      </w:pPr>
      <w:r>
        <w:rPr>
          <w:rFonts w:hint="eastAsia" w:ascii="宋体" w:hAnsi="宋体"/>
          <w:sz w:val="24"/>
        </w:rPr>
        <w:t>认证客户已与方圆签署认证合同，承诺始终遵守认证的有关规定，并按照认证合同规定缴纳认证费用。</w:t>
      </w:r>
    </w:p>
    <w:p>
      <w:pPr>
        <w:spacing w:line="360" w:lineRule="auto"/>
        <w:rPr>
          <w:rFonts w:ascii="宋体" w:hAnsi="宋体"/>
          <w:bCs/>
          <w:sz w:val="24"/>
        </w:rPr>
      </w:pPr>
      <w:bookmarkStart w:id="79" w:name="_Toc85105517"/>
      <w:bookmarkStart w:id="80" w:name="_Toc85103628"/>
      <w:bookmarkStart w:id="81" w:name="_Toc85256253"/>
      <w:r>
        <w:rPr>
          <w:rFonts w:hint="eastAsia" w:ascii="宋体" w:hAnsi="宋体"/>
          <w:bCs/>
          <w:sz w:val="24"/>
        </w:rPr>
        <w:t>6.1.2 批准认证</w:t>
      </w:r>
      <w:bookmarkEnd w:id="79"/>
      <w:bookmarkEnd w:id="80"/>
      <w:bookmarkEnd w:id="81"/>
      <w:r>
        <w:rPr>
          <w:rFonts w:hint="eastAsia" w:ascii="宋体" w:hAnsi="宋体"/>
          <w:bCs/>
          <w:sz w:val="24"/>
        </w:rPr>
        <w:t>资格的程序</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CQM向认证客户提供认证有关信息的公开文件，使其知悉并理解；</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认证客户向CQM正式提交认证申请书和相关附件；</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cs="宋体"/>
          <w:sz w:val="24"/>
        </w:rPr>
        <w:t>CQM根据客户申请信息进行申请评审，并已</w:t>
      </w:r>
      <w:r>
        <w:rPr>
          <w:rFonts w:hint="eastAsia" w:ascii="宋体" w:hAnsi="宋体"/>
          <w:sz w:val="24"/>
        </w:rPr>
        <w:t>确认受理认证申请；</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满足6.1.1批准认证资格的条件，经CQM审定，认为认证客户在认证范围内已满足批准认证资格的条件，同意批准认证；</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CQM向认证客户颁发认证证书，要求获证方按规定使用认证标志。</w:t>
      </w:r>
    </w:p>
    <w:p>
      <w:pPr>
        <w:spacing w:line="360" w:lineRule="auto"/>
        <w:rPr>
          <w:rFonts w:ascii="宋体" w:hAnsi="宋体"/>
          <w:b/>
          <w:sz w:val="24"/>
        </w:rPr>
      </w:pPr>
      <w:r>
        <w:rPr>
          <w:rFonts w:hint="eastAsia" w:ascii="宋体" w:hAnsi="宋体"/>
          <w:b/>
          <w:sz w:val="24"/>
        </w:rPr>
        <w:t>6.2拒绝认证注册的条件和程序</w:t>
      </w:r>
    </w:p>
    <w:p>
      <w:pPr>
        <w:spacing w:line="360" w:lineRule="auto"/>
        <w:rPr>
          <w:rFonts w:ascii="宋体" w:hAnsi="宋体"/>
          <w:bCs/>
          <w:sz w:val="24"/>
        </w:rPr>
      </w:pPr>
      <w:r>
        <w:rPr>
          <w:rFonts w:hint="eastAsia" w:ascii="宋体" w:hAnsi="宋体"/>
          <w:bCs/>
          <w:sz w:val="24"/>
        </w:rPr>
        <w:t>6.2.1 拒绝认证资格的条件</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cs="宋体"/>
          <w:sz w:val="24"/>
        </w:rPr>
        <w:t>认证客户信息未通过CQM的申请评审，评审为</w:t>
      </w:r>
      <w:r>
        <w:rPr>
          <w:rFonts w:hint="eastAsia" w:ascii="宋体" w:hAnsi="宋体"/>
          <w:sz w:val="24"/>
        </w:rPr>
        <w:t>不予受理认证申请；</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经现场审核核实，受审核方申请认证的范围超出其经营许可范围，或涉及的生产许可文件、强制认证文件不齐全的（或缩减认证该范围）；</w:t>
      </w:r>
    </w:p>
    <w:p>
      <w:pPr>
        <w:numPr>
          <w:ilvl w:val="0"/>
          <w:numId w:val="9"/>
        </w:numPr>
        <w:tabs>
          <w:tab w:val="left" w:pos="720"/>
          <w:tab w:val="left" w:pos="900"/>
          <w:tab w:val="clear" w:pos="1050"/>
        </w:tabs>
        <w:spacing w:line="360" w:lineRule="auto"/>
        <w:ind w:left="720" w:hanging="360"/>
        <w:rPr>
          <w:rFonts w:ascii="宋体" w:hAnsi="宋体" w:cs="宋体"/>
          <w:sz w:val="24"/>
        </w:rPr>
      </w:pPr>
      <w:r>
        <w:rPr>
          <w:rFonts w:hint="eastAsia" w:ascii="宋体" w:hAnsi="宋体" w:cs="宋体"/>
          <w:sz w:val="24"/>
        </w:rPr>
        <w:t>CQM审核组现场审核结论为“不推荐认证注册”；</w:t>
      </w:r>
    </w:p>
    <w:p>
      <w:pPr>
        <w:widowControl/>
        <w:numPr>
          <w:ilvl w:val="0"/>
          <w:numId w:val="9"/>
        </w:numPr>
        <w:tabs>
          <w:tab w:val="left" w:pos="720"/>
          <w:tab w:val="left" w:pos="900"/>
          <w:tab w:val="clear" w:pos="1050"/>
        </w:tabs>
        <w:spacing w:line="360" w:lineRule="auto"/>
        <w:ind w:left="720" w:hanging="360"/>
        <w:jc w:val="left"/>
        <w:rPr>
          <w:rFonts w:ascii="宋体" w:hAnsi="宋体" w:cs="宋体"/>
          <w:sz w:val="24"/>
        </w:rPr>
      </w:pPr>
      <w:r>
        <w:rPr>
          <w:rFonts w:hint="eastAsia" w:ascii="宋体" w:hAnsi="宋体" w:cs="宋体"/>
          <w:sz w:val="24"/>
        </w:rPr>
        <w:t>认证客户的管理体系有重大缺陷，不符合认证标准的要求，或认证客户存在重大问题及与认证范围内相关严重违法违规行为，经CQM的审定结论为不予认证注册；</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受审核方提供审核的材料明显涉嫌伪造，且员工对社会责任管理体系不了解的；</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受审核方的实际情况与认证合同中约定的组织名称、地址、人员明显不一致的；</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受审核方未开展内部审核及管理评审活动；</w:t>
      </w:r>
    </w:p>
    <w:p>
      <w:pPr>
        <w:widowControl/>
        <w:numPr>
          <w:ilvl w:val="0"/>
          <w:numId w:val="9"/>
        </w:numPr>
        <w:tabs>
          <w:tab w:val="left" w:pos="720"/>
          <w:tab w:val="left" w:pos="900"/>
          <w:tab w:val="clear" w:pos="1050"/>
        </w:tabs>
        <w:spacing w:line="360" w:lineRule="auto"/>
        <w:ind w:left="720" w:hanging="360"/>
        <w:jc w:val="left"/>
        <w:rPr>
          <w:rFonts w:ascii="宋体" w:hAnsi="宋体" w:cs="宋体"/>
          <w:sz w:val="24"/>
        </w:rPr>
      </w:pPr>
      <w:r>
        <w:rPr>
          <w:rFonts w:hint="eastAsia" w:ascii="宋体" w:hAnsi="宋体" w:cs="宋体"/>
          <w:sz w:val="24"/>
        </w:rPr>
        <w:t>初次认证第二阶段后，认证客户未</w:t>
      </w:r>
      <w:r>
        <w:rPr>
          <w:rFonts w:hint="eastAsia" w:ascii="宋体" w:hAnsi="宋体"/>
          <w:bCs/>
          <w:color w:val="000000"/>
          <w:sz w:val="24"/>
        </w:rPr>
        <w:t>在规定的时间内按要求关闭</w:t>
      </w:r>
      <w:r>
        <w:rPr>
          <w:rFonts w:hint="eastAsia" w:ascii="宋体" w:hAnsi="宋体" w:cs="宋体"/>
          <w:sz w:val="24"/>
        </w:rPr>
        <w:t>不符合，或未按规定接受CQM再次实施的二阶段审核；</w:t>
      </w:r>
    </w:p>
    <w:p>
      <w:pPr>
        <w:widowControl/>
        <w:numPr>
          <w:ilvl w:val="0"/>
          <w:numId w:val="9"/>
        </w:numPr>
        <w:tabs>
          <w:tab w:val="left" w:pos="720"/>
          <w:tab w:val="left" w:pos="900"/>
          <w:tab w:val="clear" w:pos="1050"/>
        </w:tabs>
        <w:spacing w:line="360" w:lineRule="auto"/>
        <w:ind w:left="720" w:hanging="360"/>
        <w:jc w:val="left"/>
        <w:rPr>
          <w:rFonts w:ascii="宋体" w:hAnsi="宋体" w:cs="宋体"/>
          <w:sz w:val="24"/>
        </w:rPr>
      </w:pPr>
      <w:r>
        <w:rPr>
          <w:rFonts w:hint="eastAsia" w:ascii="宋体" w:hAnsi="宋体"/>
          <w:bCs/>
          <w:color w:val="000000"/>
          <w:sz w:val="24"/>
        </w:rPr>
        <w:t>再认证审核后，</w:t>
      </w:r>
      <w:r>
        <w:rPr>
          <w:rFonts w:hint="eastAsia" w:ascii="宋体" w:hAnsi="宋体" w:cs="宋体"/>
          <w:sz w:val="24"/>
        </w:rPr>
        <w:t>认证客户未</w:t>
      </w:r>
      <w:r>
        <w:rPr>
          <w:rFonts w:hint="eastAsia" w:ascii="宋体" w:hAnsi="宋体"/>
          <w:bCs/>
          <w:color w:val="000000"/>
          <w:sz w:val="24"/>
        </w:rPr>
        <w:t>在规定的时间内按要求关闭</w:t>
      </w:r>
      <w:r>
        <w:rPr>
          <w:rFonts w:hint="eastAsia" w:ascii="宋体" w:hAnsi="宋体" w:cs="宋体"/>
          <w:sz w:val="24"/>
        </w:rPr>
        <w:t>不符合（包括CQM审定提出的不符合）</w:t>
      </w:r>
      <w:r>
        <w:rPr>
          <w:rFonts w:hint="eastAsia" w:ascii="宋体" w:hAnsi="宋体"/>
          <w:bCs/>
          <w:color w:val="000000"/>
          <w:sz w:val="24"/>
        </w:rPr>
        <w:t>；</w:t>
      </w:r>
    </w:p>
    <w:p>
      <w:pPr>
        <w:numPr>
          <w:ilvl w:val="0"/>
          <w:numId w:val="9"/>
        </w:numPr>
        <w:tabs>
          <w:tab w:val="left" w:pos="720"/>
          <w:tab w:val="left" w:pos="900"/>
          <w:tab w:val="clear" w:pos="1050"/>
        </w:tabs>
        <w:spacing w:line="360" w:lineRule="auto"/>
        <w:ind w:left="720" w:hanging="360"/>
        <w:rPr>
          <w:rFonts w:ascii="宋体" w:hAnsi="宋体" w:cs="宋体"/>
          <w:color w:val="000000"/>
          <w:sz w:val="24"/>
        </w:rPr>
      </w:pPr>
      <w:r>
        <w:rPr>
          <w:rFonts w:hint="eastAsia" w:ascii="宋体" w:hAnsi="宋体" w:cs="宋体"/>
          <w:color w:val="000000"/>
          <w:sz w:val="24"/>
        </w:rPr>
        <w:t>除以上情况外，CQM的审定结论为不予认证注册。</w:t>
      </w:r>
    </w:p>
    <w:p>
      <w:pPr>
        <w:tabs>
          <w:tab w:val="left" w:pos="720"/>
        </w:tabs>
        <w:spacing w:line="360" w:lineRule="auto"/>
        <w:rPr>
          <w:rFonts w:ascii="宋体" w:hAnsi="宋体"/>
          <w:bCs/>
          <w:i/>
          <w:iCs/>
          <w:sz w:val="24"/>
        </w:rPr>
      </w:pPr>
      <w:r>
        <w:rPr>
          <w:rFonts w:hint="eastAsia" w:ascii="宋体" w:hAnsi="宋体"/>
          <w:bCs/>
          <w:sz w:val="24"/>
        </w:rPr>
        <w:t>6.2.2 拒绝认证注册的程序</w:t>
      </w:r>
    </w:p>
    <w:p>
      <w:pPr>
        <w:pStyle w:val="8"/>
        <w:numPr>
          <w:ilvl w:val="1"/>
          <w:numId w:val="8"/>
        </w:numPr>
        <w:tabs>
          <w:tab w:val="left" w:pos="720"/>
          <w:tab w:val="clear" w:pos="1139"/>
        </w:tabs>
        <w:spacing w:after="0" w:line="360" w:lineRule="auto"/>
        <w:ind w:left="720" w:leftChars="0"/>
        <w:rPr>
          <w:rFonts w:ascii="宋体" w:hAnsi="宋体"/>
          <w:bCs/>
          <w:iCs/>
          <w:sz w:val="24"/>
        </w:rPr>
      </w:pPr>
      <w:r>
        <w:rPr>
          <w:rFonts w:hint="eastAsia" w:ascii="宋体" w:hAnsi="宋体"/>
          <w:iCs/>
          <w:sz w:val="24"/>
        </w:rPr>
        <w:t>符合6.2.1条件之一，经CQM</w:t>
      </w:r>
      <w:r>
        <w:rPr>
          <w:rFonts w:hint="eastAsia" w:ascii="宋体" w:hAnsi="宋体"/>
          <w:sz w:val="24"/>
        </w:rPr>
        <w:t>评审为不予受理认证或认证客户的管理体系不满足批准认证资格条件</w:t>
      </w:r>
      <w:r>
        <w:rPr>
          <w:rFonts w:hint="eastAsia" w:ascii="宋体" w:hAnsi="宋体"/>
          <w:color w:val="000000"/>
          <w:sz w:val="24"/>
        </w:rPr>
        <w:t>；</w:t>
      </w:r>
    </w:p>
    <w:p>
      <w:pPr>
        <w:pStyle w:val="8"/>
        <w:numPr>
          <w:ilvl w:val="1"/>
          <w:numId w:val="8"/>
        </w:numPr>
        <w:tabs>
          <w:tab w:val="left" w:pos="720"/>
          <w:tab w:val="clear" w:pos="1139"/>
        </w:tabs>
        <w:spacing w:after="0" w:line="360" w:lineRule="auto"/>
        <w:ind w:left="720" w:leftChars="0"/>
        <w:rPr>
          <w:rFonts w:ascii="宋体" w:hAnsi="宋体"/>
          <w:bCs/>
          <w:iCs/>
          <w:sz w:val="24"/>
        </w:rPr>
      </w:pPr>
      <w:r>
        <w:rPr>
          <w:rFonts w:hint="eastAsia" w:ascii="宋体" w:hAnsi="宋体"/>
          <w:sz w:val="24"/>
        </w:rPr>
        <w:t>CQM向认证客户发出《不</w:t>
      </w:r>
      <w:r>
        <w:rPr>
          <w:rFonts w:hint="eastAsia" w:ascii="宋体" w:hAnsi="宋体"/>
          <w:bCs/>
          <w:iCs/>
          <w:sz w:val="24"/>
        </w:rPr>
        <w:t>予</w:t>
      </w:r>
      <w:r>
        <w:rPr>
          <w:rFonts w:hint="eastAsia" w:ascii="宋体" w:hAnsi="宋体"/>
          <w:sz w:val="24"/>
        </w:rPr>
        <w:t>认证注册通知》</w:t>
      </w:r>
      <w:r>
        <w:rPr>
          <w:rFonts w:hint="eastAsia" w:ascii="宋体" w:hAnsi="宋体"/>
          <w:bCs/>
          <w:iCs/>
          <w:sz w:val="24"/>
        </w:rPr>
        <w:t>。</w:t>
      </w:r>
    </w:p>
    <w:p>
      <w:pPr>
        <w:spacing w:line="360" w:lineRule="auto"/>
        <w:rPr>
          <w:rFonts w:ascii="宋体" w:hAnsi="宋体"/>
          <w:b/>
          <w:sz w:val="24"/>
        </w:rPr>
      </w:pPr>
      <w:r>
        <w:rPr>
          <w:rFonts w:hint="eastAsia" w:ascii="宋体" w:hAnsi="宋体"/>
          <w:b/>
          <w:sz w:val="24"/>
        </w:rPr>
        <w:t>6.3保持认证资格的条件和程序</w:t>
      </w:r>
    </w:p>
    <w:p>
      <w:pPr>
        <w:spacing w:line="360" w:lineRule="auto"/>
        <w:rPr>
          <w:rFonts w:ascii="宋体" w:hAnsi="宋体"/>
          <w:bCs/>
          <w:sz w:val="24"/>
        </w:rPr>
      </w:pPr>
      <w:r>
        <w:rPr>
          <w:rFonts w:hint="eastAsia" w:ascii="宋体" w:hAnsi="宋体"/>
          <w:bCs/>
          <w:sz w:val="24"/>
        </w:rPr>
        <w:t>6.3.1 保持认证资格的条件</w:t>
      </w:r>
    </w:p>
    <w:p>
      <w:pPr>
        <w:numPr>
          <w:ilvl w:val="0"/>
          <w:numId w:val="10"/>
        </w:numPr>
        <w:tabs>
          <w:tab w:val="left" w:pos="720"/>
        </w:tabs>
        <w:spacing w:line="360" w:lineRule="auto"/>
        <w:ind w:left="709" w:hanging="349"/>
        <w:rPr>
          <w:rFonts w:ascii="宋体" w:hAnsi="宋体"/>
          <w:sz w:val="24"/>
        </w:rPr>
      </w:pPr>
      <w:r>
        <w:rPr>
          <w:rFonts w:hint="eastAsia" w:ascii="宋体" w:hAnsi="宋体"/>
          <w:sz w:val="24"/>
        </w:rPr>
        <w:t>获证客户的法律地位、行政许可文件持续符合国家的最新要求，并且认证范围在法律地位文件和行政许可文件规定的范围内；</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获证客户持续遵守认证有关的规定，包括变更的规定；</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获证客户在认证范围内的组织过程和活动持续满足适用的最新法律法规的要求，如发生不满足时及时采取有效的措施；</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获证客户于获证期内，认证范围内涉及的过程或活动未发生重大事故和国家检查不合格；</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获证客户在获证期间未发生误用认证证书和认证标志，如有发生能及时有效地采取纠正和纠正措施，并将误用产生的影响降至最少程度；</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获证客户对顾客或相关方的重大投诉和关切能及时有效地处理；</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获证客户能按照CQM要求及时通报管理体系和重要过程变更等信息；</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按时接受监督审核,经现场审核获证客户的管理体系持续符合认证标准/规范性文件要求，审核组结论为“保持认证”；</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获证客户履行与CQM签署认证合同中规定的责任和义务，并按照认证合同规定缴纳认证费用。</w:t>
      </w:r>
    </w:p>
    <w:p>
      <w:pPr>
        <w:tabs>
          <w:tab w:val="left" w:pos="720"/>
        </w:tabs>
        <w:spacing w:line="360" w:lineRule="auto"/>
        <w:rPr>
          <w:rFonts w:ascii="宋体" w:hAnsi="宋体"/>
          <w:bCs/>
          <w:i/>
          <w:iCs/>
          <w:sz w:val="24"/>
        </w:rPr>
      </w:pPr>
      <w:r>
        <w:rPr>
          <w:rFonts w:hint="eastAsia" w:ascii="宋体" w:hAnsi="宋体"/>
          <w:bCs/>
          <w:sz w:val="24"/>
        </w:rPr>
        <w:t>6.3.2 保持认证资格的程序</w:t>
      </w:r>
    </w:p>
    <w:p>
      <w:pPr>
        <w:numPr>
          <w:ilvl w:val="0"/>
          <w:numId w:val="11"/>
        </w:numPr>
        <w:tabs>
          <w:tab w:val="left" w:pos="720"/>
          <w:tab w:val="clear" w:pos="1050"/>
        </w:tabs>
        <w:spacing w:line="360" w:lineRule="auto"/>
        <w:ind w:left="709" w:hanging="349"/>
        <w:rPr>
          <w:rFonts w:ascii="宋体" w:hAnsi="宋体"/>
          <w:sz w:val="24"/>
        </w:rPr>
      </w:pPr>
      <w:r>
        <w:rPr>
          <w:rFonts w:hint="eastAsia" w:ascii="宋体" w:hAnsi="宋体"/>
          <w:sz w:val="24"/>
        </w:rPr>
        <w:t xml:space="preserve">满足6.3.1保持认证资格的条件，监督审核后，经CQM派出的审核组长确认和CQM审查后认为获证客户在认证范围内能持续满足保持认证资格的条件，同意保持认证资格，由CQM签发确认证书并向获证客户发放； </w:t>
      </w:r>
    </w:p>
    <w:p>
      <w:pPr>
        <w:numPr>
          <w:ilvl w:val="0"/>
          <w:numId w:val="11"/>
        </w:numPr>
        <w:tabs>
          <w:tab w:val="left" w:pos="720"/>
        </w:tabs>
        <w:spacing w:line="360" w:lineRule="auto"/>
        <w:ind w:left="720" w:hanging="360"/>
        <w:rPr>
          <w:rFonts w:ascii="宋体" w:hAnsi="宋体"/>
          <w:sz w:val="24"/>
        </w:rPr>
      </w:pPr>
      <w:r>
        <w:rPr>
          <w:rFonts w:hint="eastAsia" w:ascii="宋体" w:hAnsi="宋体"/>
          <w:sz w:val="24"/>
        </w:rPr>
        <w:t>在认证证书有效期内如有认证要求变更，获证客户接受变更的认证要求，并经CQM验证在认证范围内管理体系满足变更的要求，可保持认证资格。</w:t>
      </w:r>
    </w:p>
    <w:p>
      <w:pPr>
        <w:spacing w:line="360" w:lineRule="auto"/>
        <w:rPr>
          <w:rFonts w:ascii="宋体" w:hAnsi="宋体"/>
          <w:b/>
          <w:sz w:val="24"/>
        </w:rPr>
      </w:pPr>
      <w:r>
        <w:rPr>
          <w:rFonts w:hint="eastAsia" w:ascii="宋体" w:hAnsi="宋体"/>
          <w:b/>
          <w:sz w:val="24"/>
        </w:rPr>
        <w:t>6.4扩大认证范围的条件和程序</w:t>
      </w:r>
    </w:p>
    <w:p>
      <w:pPr>
        <w:spacing w:line="360" w:lineRule="auto"/>
        <w:rPr>
          <w:rFonts w:ascii="宋体" w:hAnsi="宋体"/>
          <w:bCs/>
          <w:sz w:val="24"/>
        </w:rPr>
      </w:pPr>
      <w:r>
        <w:rPr>
          <w:rFonts w:hint="eastAsia" w:ascii="宋体" w:hAnsi="宋体"/>
          <w:bCs/>
          <w:sz w:val="24"/>
        </w:rPr>
        <w:t>6.4.1 扩大认证范围的分类</w:t>
      </w:r>
    </w:p>
    <w:p>
      <w:pPr>
        <w:numPr>
          <w:ilvl w:val="0"/>
          <w:numId w:val="12"/>
        </w:numPr>
        <w:spacing w:line="400" w:lineRule="exact"/>
        <w:rPr>
          <w:rFonts w:ascii="宋体" w:hAnsi="宋体"/>
          <w:sz w:val="24"/>
        </w:rPr>
      </w:pPr>
      <w:r>
        <w:rPr>
          <w:rFonts w:hint="eastAsia" w:ascii="宋体" w:hAnsi="宋体"/>
          <w:sz w:val="24"/>
        </w:rPr>
        <w:t>获证客户固定分场所增加、区域或扩大；</w:t>
      </w:r>
    </w:p>
    <w:p>
      <w:pPr>
        <w:numPr>
          <w:ilvl w:val="0"/>
          <w:numId w:val="12"/>
        </w:numPr>
        <w:spacing w:line="360" w:lineRule="auto"/>
        <w:rPr>
          <w:rFonts w:ascii="宋体" w:hAnsi="宋体"/>
          <w:sz w:val="24"/>
        </w:rPr>
      </w:pPr>
      <w:r>
        <w:rPr>
          <w:rFonts w:hint="eastAsia" w:ascii="宋体" w:hAnsi="宋体"/>
          <w:sz w:val="24"/>
        </w:rPr>
        <w:t>获证客户运营中过程或活动增加。</w:t>
      </w:r>
    </w:p>
    <w:p>
      <w:pPr>
        <w:spacing w:line="360" w:lineRule="auto"/>
        <w:rPr>
          <w:rFonts w:ascii="宋体" w:hAnsi="宋体"/>
          <w:bCs/>
          <w:sz w:val="24"/>
        </w:rPr>
      </w:pPr>
      <w:r>
        <w:rPr>
          <w:rFonts w:hint="eastAsia" w:ascii="宋体" w:hAnsi="宋体"/>
          <w:bCs/>
          <w:sz w:val="24"/>
        </w:rPr>
        <w:t>6.4.2 扩大认证范围的条件</w:t>
      </w:r>
    </w:p>
    <w:p>
      <w:pPr>
        <w:numPr>
          <w:ilvl w:val="0"/>
          <w:numId w:val="13"/>
        </w:numPr>
        <w:spacing w:line="360" w:lineRule="auto"/>
        <w:rPr>
          <w:rFonts w:ascii="宋体" w:hAnsi="宋体"/>
          <w:sz w:val="24"/>
        </w:rPr>
      </w:pPr>
      <w:r>
        <w:rPr>
          <w:rFonts w:hint="eastAsia" w:ascii="宋体" w:hAnsi="宋体"/>
          <w:sz w:val="24"/>
        </w:rPr>
        <w:t>获证客户保持认证资格有效。</w:t>
      </w:r>
    </w:p>
    <w:p>
      <w:pPr>
        <w:numPr>
          <w:ilvl w:val="0"/>
          <w:numId w:val="13"/>
        </w:numPr>
        <w:spacing w:line="360" w:lineRule="auto"/>
        <w:rPr>
          <w:rFonts w:ascii="宋体" w:hAnsi="宋体"/>
          <w:sz w:val="24"/>
        </w:rPr>
      </w:pPr>
      <w:r>
        <w:rPr>
          <w:rFonts w:hint="eastAsia" w:ascii="宋体" w:hAnsi="宋体"/>
          <w:sz w:val="24"/>
        </w:rPr>
        <w:t>获证客户申请扩大的认证范围在法律地位文件范围内。国家、地方或行业有要求时，获证客户拟扩大的认证范围具有有效的行政许可文件；</w:t>
      </w:r>
    </w:p>
    <w:p>
      <w:pPr>
        <w:numPr>
          <w:ilvl w:val="0"/>
          <w:numId w:val="13"/>
        </w:numPr>
        <w:spacing w:line="360" w:lineRule="auto"/>
        <w:rPr>
          <w:rFonts w:ascii="宋体" w:hAnsi="宋体"/>
          <w:sz w:val="24"/>
        </w:rPr>
      </w:pPr>
      <w:r>
        <w:rPr>
          <w:rFonts w:hint="eastAsia" w:ascii="宋体" w:hAnsi="宋体"/>
          <w:sz w:val="24"/>
        </w:rPr>
        <w:t>国家或地方或行业有要求时，获证客户在申请扩大认证范围内的组织运营中的过程和活动，已满足适用的法律法规的要求；</w:t>
      </w:r>
    </w:p>
    <w:p>
      <w:pPr>
        <w:numPr>
          <w:ilvl w:val="0"/>
          <w:numId w:val="13"/>
        </w:numPr>
        <w:spacing w:line="360" w:lineRule="auto"/>
        <w:rPr>
          <w:rFonts w:ascii="宋体" w:hAnsi="宋体"/>
          <w:sz w:val="24"/>
        </w:rPr>
      </w:pPr>
      <w:r>
        <w:rPr>
          <w:rFonts w:hint="eastAsia" w:ascii="宋体" w:hAnsi="宋体"/>
          <w:sz w:val="24"/>
        </w:rPr>
        <w:t>获证客户的管理体系覆盖申请扩大的认证范围，并符合认证标准/规范性文件要求；</w:t>
      </w:r>
    </w:p>
    <w:p>
      <w:pPr>
        <w:numPr>
          <w:ilvl w:val="0"/>
          <w:numId w:val="13"/>
        </w:numPr>
        <w:spacing w:line="360" w:lineRule="auto"/>
        <w:rPr>
          <w:iCs/>
          <w:sz w:val="24"/>
        </w:rPr>
      </w:pPr>
      <w:r>
        <w:rPr>
          <w:rFonts w:hint="eastAsia" w:ascii="宋体" w:hAnsi="宋体"/>
          <w:sz w:val="24"/>
        </w:rPr>
        <w:t>获证客户按照认证规定缴纳补充认证费用。</w:t>
      </w:r>
    </w:p>
    <w:p>
      <w:pPr>
        <w:spacing w:line="360" w:lineRule="auto"/>
        <w:rPr>
          <w:rFonts w:ascii="宋体" w:hAnsi="宋体"/>
          <w:bCs/>
          <w:sz w:val="24"/>
        </w:rPr>
      </w:pPr>
      <w:r>
        <w:rPr>
          <w:rFonts w:hint="eastAsia" w:ascii="宋体" w:hAnsi="宋体"/>
          <w:bCs/>
          <w:sz w:val="24"/>
        </w:rPr>
        <w:t>6.4.3 扩大认证范围的程序</w:t>
      </w:r>
    </w:p>
    <w:p>
      <w:pPr>
        <w:numPr>
          <w:ilvl w:val="0"/>
          <w:numId w:val="14"/>
        </w:numPr>
        <w:spacing w:line="360" w:lineRule="auto"/>
        <w:rPr>
          <w:rFonts w:ascii="宋体" w:hAnsi="宋体"/>
          <w:sz w:val="24"/>
        </w:rPr>
      </w:pPr>
      <w:r>
        <w:rPr>
          <w:rFonts w:hint="eastAsia" w:ascii="宋体" w:hAnsi="宋体"/>
          <w:sz w:val="24"/>
        </w:rPr>
        <w:t>CQM向获证客户提供与扩大认证范围有关信息的公开文件，获证客户知悉并理解；</w:t>
      </w:r>
    </w:p>
    <w:p>
      <w:pPr>
        <w:numPr>
          <w:ilvl w:val="0"/>
          <w:numId w:val="14"/>
        </w:numPr>
        <w:spacing w:line="360" w:lineRule="auto"/>
        <w:rPr>
          <w:rFonts w:ascii="宋体" w:hAnsi="宋体"/>
          <w:sz w:val="24"/>
        </w:rPr>
      </w:pPr>
      <w:r>
        <w:rPr>
          <w:rFonts w:hint="eastAsia" w:ascii="宋体" w:hAnsi="宋体"/>
          <w:sz w:val="24"/>
        </w:rPr>
        <w:t>获证客户向CQM正式提交扩大认证范围的申请和相关附件；</w:t>
      </w:r>
    </w:p>
    <w:p>
      <w:pPr>
        <w:numPr>
          <w:ilvl w:val="0"/>
          <w:numId w:val="14"/>
        </w:numPr>
        <w:spacing w:line="360" w:lineRule="auto"/>
        <w:rPr>
          <w:rFonts w:ascii="宋体" w:hAnsi="宋体"/>
          <w:sz w:val="24"/>
        </w:rPr>
      </w:pPr>
      <w:r>
        <w:rPr>
          <w:rFonts w:hint="eastAsia" w:ascii="宋体" w:hAnsi="宋体"/>
          <w:sz w:val="24"/>
        </w:rPr>
        <w:t>需要时，获证客户与CQM补充签署或修订认证合同，并按照规定补充缴纳认证费用；</w:t>
      </w:r>
    </w:p>
    <w:p>
      <w:pPr>
        <w:numPr>
          <w:ilvl w:val="0"/>
          <w:numId w:val="14"/>
        </w:numPr>
        <w:spacing w:line="360" w:lineRule="auto"/>
        <w:rPr>
          <w:rFonts w:ascii="宋体" w:hAnsi="宋体"/>
          <w:sz w:val="24"/>
        </w:rPr>
      </w:pPr>
      <w:r>
        <w:rPr>
          <w:rFonts w:hint="eastAsia" w:ascii="宋体" w:hAnsi="宋体"/>
          <w:sz w:val="24"/>
        </w:rPr>
        <w:t>满足6.4.1扩大认证范围的条件，经CQM审核、审定，认为获证客户在申请扩大认证范围内已满足批准认证资格的条件，同意批准扩大认证范围，认证证书的注册号和有效期保持不变；</w:t>
      </w:r>
    </w:p>
    <w:p>
      <w:pPr>
        <w:numPr>
          <w:ilvl w:val="0"/>
          <w:numId w:val="14"/>
        </w:numPr>
        <w:spacing w:line="360" w:lineRule="auto"/>
        <w:rPr>
          <w:rFonts w:ascii="宋体" w:hAnsi="宋体"/>
          <w:sz w:val="24"/>
        </w:rPr>
      </w:pPr>
      <w:r>
        <w:rPr>
          <w:rFonts w:hint="eastAsia" w:ascii="宋体" w:hAnsi="宋体"/>
          <w:sz w:val="24"/>
        </w:rPr>
        <w:t>CQM向获证客户送交新认证证书，同时收回原证书。</w:t>
      </w:r>
    </w:p>
    <w:p>
      <w:pPr>
        <w:spacing w:line="360" w:lineRule="auto"/>
        <w:rPr>
          <w:rFonts w:ascii="宋体" w:hAnsi="宋体"/>
          <w:b/>
          <w:sz w:val="24"/>
        </w:rPr>
      </w:pPr>
      <w:r>
        <w:rPr>
          <w:rFonts w:hint="eastAsia" w:ascii="宋体" w:hAnsi="宋体"/>
          <w:b/>
          <w:sz w:val="24"/>
        </w:rPr>
        <w:t>6.5缩小认证范围的条件和程序</w:t>
      </w:r>
    </w:p>
    <w:p>
      <w:pPr>
        <w:spacing w:line="360" w:lineRule="auto"/>
        <w:rPr>
          <w:rFonts w:ascii="宋体" w:hAnsi="宋体"/>
          <w:bCs/>
          <w:sz w:val="24"/>
        </w:rPr>
      </w:pPr>
      <w:r>
        <w:rPr>
          <w:rFonts w:hint="eastAsia" w:ascii="宋体" w:hAnsi="宋体"/>
          <w:bCs/>
          <w:sz w:val="24"/>
        </w:rPr>
        <w:t>6.5.1 缩小认证范围的分类</w:t>
      </w:r>
    </w:p>
    <w:p>
      <w:pPr>
        <w:numPr>
          <w:ilvl w:val="0"/>
          <w:numId w:val="15"/>
        </w:numPr>
        <w:tabs>
          <w:tab w:val="left" w:pos="720"/>
          <w:tab w:val="left" w:pos="4188"/>
          <w:tab w:val="clear" w:pos="1078"/>
        </w:tabs>
        <w:spacing w:line="360" w:lineRule="auto"/>
        <w:ind w:left="720"/>
        <w:rPr>
          <w:rFonts w:ascii="宋体" w:hAnsi="宋体"/>
          <w:bCs/>
          <w:sz w:val="24"/>
        </w:rPr>
      </w:pPr>
      <w:r>
        <w:rPr>
          <w:rFonts w:hint="eastAsia" w:ascii="宋体" w:hAnsi="宋体"/>
          <w:bCs/>
          <w:sz w:val="24"/>
        </w:rPr>
        <w:t>获证客户固定分场所、区域的缩小；</w:t>
      </w:r>
    </w:p>
    <w:p>
      <w:pPr>
        <w:numPr>
          <w:ilvl w:val="0"/>
          <w:numId w:val="15"/>
        </w:numPr>
        <w:tabs>
          <w:tab w:val="left" w:pos="720"/>
          <w:tab w:val="left" w:pos="4188"/>
          <w:tab w:val="clear" w:pos="1078"/>
        </w:tabs>
        <w:spacing w:line="360" w:lineRule="auto"/>
        <w:ind w:left="720"/>
        <w:rPr>
          <w:rFonts w:ascii="宋体" w:hAnsi="宋体"/>
          <w:bCs/>
          <w:sz w:val="24"/>
        </w:rPr>
      </w:pPr>
      <w:r>
        <w:rPr>
          <w:rFonts w:hint="eastAsia" w:ascii="宋体" w:hAnsi="宋体"/>
          <w:bCs/>
          <w:sz w:val="24"/>
        </w:rPr>
        <w:t>产品类别减少；</w:t>
      </w:r>
    </w:p>
    <w:p>
      <w:pPr>
        <w:numPr>
          <w:ilvl w:val="0"/>
          <w:numId w:val="15"/>
        </w:numPr>
        <w:tabs>
          <w:tab w:val="left" w:pos="720"/>
          <w:tab w:val="left" w:pos="4188"/>
          <w:tab w:val="clear" w:pos="1078"/>
        </w:tabs>
        <w:spacing w:line="360" w:lineRule="auto"/>
        <w:ind w:left="720"/>
        <w:rPr>
          <w:rFonts w:ascii="宋体" w:hAnsi="宋体"/>
          <w:bCs/>
          <w:sz w:val="24"/>
        </w:rPr>
      </w:pPr>
      <w:r>
        <w:rPr>
          <w:rFonts w:hint="eastAsia" w:ascii="宋体" w:hAnsi="宋体"/>
          <w:bCs/>
          <w:sz w:val="24"/>
        </w:rPr>
        <w:t>产品形成主要过程减少，如产品设计、产品安装；</w:t>
      </w:r>
    </w:p>
    <w:p>
      <w:pPr>
        <w:numPr>
          <w:ilvl w:val="0"/>
          <w:numId w:val="15"/>
        </w:numPr>
        <w:tabs>
          <w:tab w:val="left" w:pos="720"/>
          <w:tab w:val="left" w:pos="4188"/>
          <w:tab w:val="clear" w:pos="1078"/>
        </w:tabs>
        <w:spacing w:line="360" w:lineRule="auto"/>
        <w:ind w:left="720"/>
      </w:pPr>
      <w:r>
        <w:rPr>
          <w:rFonts w:hint="eastAsia" w:ascii="宋体" w:hAnsi="宋体"/>
          <w:bCs/>
          <w:sz w:val="24"/>
        </w:rPr>
        <w:t>多个组织认证减少组织数量。</w:t>
      </w:r>
    </w:p>
    <w:p>
      <w:pPr>
        <w:spacing w:line="360" w:lineRule="auto"/>
      </w:pPr>
      <w:r>
        <w:rPr>
          <w:rFonts w:hint="eastAsia" w:ascii="宋体" w:hAnsi="宋体"/>
          <w:bCs/>
          <w:sz w:val="24"/>
        </w:rPr>
        <w:t>6.5.2 缩小认证范围的条件</w:t>
      </w:r>
    </w:p>
    <w:p>
      <w:pPr>
        <w:numPr>
          <w:ilvl w:val="0"/>
          <w:numId w:val="16"/>
        </w:numPr>
        <w:tabs>
          <w:tab w:val="left" w:pos="709"/>
          <w:tab w:val="clear" w:pos="1078"/>
        </w:tabs>
        <w:spacing w:line="360" w:lineRule="auto"/>
        <w:ind w:left="720"/>
        <w:jc w:val="left"/>
        <w:rPr>
          <w:rFonts w:ascii="宋体" w:hAnsi="宋体"/>
          <w:bCs/>
          <w:sz w:val="24"/>
        </w:rPr>
      </w:pPr>
      <w:r>
        <w:rPr>
          <w:rFonts w:hint="eastAsia" w:ascii="宋体" w:hAnsi="宋体"/>
          <w:bCs/>
          <w:sz w:val="24"/>
        </w:rPr>
        <w:t>获证客户认证范围内部分产品/服务、区域等不再符合认证标准/规范性文件和其他要求；</w:t>
      </w:r>
    </w:p>
    <w:p>
      <w:pPr>
        <w:numPr>
          <w:ilvl w:val="0"/>
          <w:numId w:val="16"/>
        </w:numPr>
        <w:tabs>
          <w:tab w:val="left" w:pos="709"/>
          <w:tab w:val="clear" w:pos="1078"/>
        </w:tabs>
        <w:spacing w:line="360" w:lineRule="auto"/>
        <w:ind w:left="720"/>
        <w:rPr>
          <w:rFonts w:ascii="宋体" w:hAnsi="宋体"/>
          <w:bCs/>
          <w:sz w:val="24"/>
        </w:rPr>
      </w:pPr>
      <w:r>
        <w:rPr>
          <w:rFonts w:hint="eastAsia" w:ascii="宋体" w:hAnsi="宋体"/>
          <w:bCs/>
          <w:sz w:val="24"/>
        </w:rPr>
        <w:t>获证客户不愿再继续保持认证范围内的部分产品、服务、区域等认证资格；</w:t>
      </w:r>
    </w:p>
    <w:p>
      <w:pPr>
        <w:numPr>
          <w:ilvl w:val="0"/>
          <w:numId w:val="16"/>
        </w:numPr>
        <w:tabs>
          <w:tab w:val="left" w:pos="709"/>
          <w:tab w:val="clear" w:pos="1078"/>
        </w:tabs>
        <w:spacing w:line="360" w:lineRule="auto"/>
        <w:ind w:left="720"/>
        <w:rPr>
          <w:rFonts w:ascii="宋体" w:hAnsi="宋体"/>
          <w:bCs/>
          <w:sz w:val="24"/>
        </w:rPr>
      </w:pPr>
      <w:r>
        <w:rPr>
          <w:rFonts w:hint="eastAsia" w:ascii="宋体" w:hAnsi="宋体"/>
          <w:bCs/>
          <w:sz w:val="24"/>
        </w:rPr>
        <w:t>获证客户缩小认证范围应不包括为缩小认证风险的情况。</w:t>
      </w:r>
    </w:p>
    <w:p>
      <w:pPr>
        <w:spacing w:line="360" w:lineRule="auto"/>
        <w:rPr>
          <w:rFonts w:ascii="宋体" w:hAnsi="宋体"/>
          <w:bCs/>
          <w:sz w:val="24"/>
        </w:rPr>
      </w:pPr>
      <w:r>
        <w:rPr>
          <w:rFonts w:hint="eastAsia" w:ascii="宋体" w:hAnsi="宋体"/>
          <w:bCs/>
          <w:sz w:val="24"/>
        </w:rPr>
        <w:t>6.5.3 缩小认证范围的程序</w:t>
      </w:r>
    </w:p>
    <w:p>
      <w:pPr>
        <w:numPr>
          <w:ilvl w:val="2"/>
          <w:numId w:val="8"/>
        </w:numPr>
        <w:spacing w:line="360" w:lineRule="auto"/>
        <w:rPr>
          <w:rFonts w:ascii="宋体" w:hAnsi="宋体"/>
          <w:sz w:val="24"/>
        </w:rPr>
      </w:pPr>
      <w:r>
        <w:rPr>
          <w:rFonts w:hint="eastAsia" w:ascii="宋体" w:hAnsi="宋体"/>
          <w:sz w:val="24"/>
        </w:rPr>
        <w:t>获证客户向CQM正式提交缩小认证范围的申请，或CQM提出缩小获证客户认证范围的建议，并提供理由和证据。CQM的审定意见和日常监督结果也可作为认证范围缩小的信息来源和理由，经认证双方沟通后达成一致意见；</w:t>
      </w:r>
    </w:p>
    <w:p>
      <w:pPr>
        <w:numPr>
          <w:ilvl w:val="2"/>
          <w:numId w:val="8"/>
        </w:numPr>
        <w:spacing w:line="360" w:lineRule="auto"/>
        <w:rPr>
          <w:rFonts w:ascii="宋体" w:hAnsi="宋体"/>
          <w:sz w:val="24"/>
        </w:rPr>
      </w:pPr>
      <w:r>
        <w:rPr>
          <w:rFonts w:hint="eastAsia" w:ascii="宋体" w:hAnsi="宋体"/>
          <w:sz w:val="24"/>
        </w:rPr>
        <w:t>需要时，获证客户应与CQM修订认证合同；</w:t>
      </w:r>
    </w:p>
    <w:p>
      <w:pPr>
        <w:numPr>
          <w:ilvl w:val="2"/>
          <w:numId w:val="8"/>
        </w:numPr>
        <w:spacing w:line="360" w:lineRule="auto"/>
        <w:rPr>
          <w:rFonts w:ascii="宋体" w:hAnsi="宋体"/>
          <w:sz w:val="24"/>
        </w:rPr>
      </w:pPr>
      <w:r>
        <w:rPr>
          <w:rFonts w:hint="eastAsia" w:ascii="宋体" w:hAnsi="宋体"/>
          <w:sz w:val="24"/>
        </w:rPr>
        <w:t>经CQM审定，认为获证客户在申请缩小认证范围不会对仍保持的认证范围产生影响，同意批准缩小认证范围，收回原认证证书，换发认证证书或附件，认证证书的注册号和有效期保持不变。</w:t>
      </w:r>
    </w:p>
    <w:p>
      <w:pPr>
        <w:spacing w:line="360" w:lineRule="auto"/>
        <w:rPr>
          <w:rFonts w:ascii="宋体" w:hAnsi="宋体"/>
          <w:b/>
          <w:sz w:val="24"/>
        </w:rPr>
      </w:pPr>
      <w:r>
        <w:rPr>
          <w:rFonts w:hint="eastAsia" w:ascii="宋体" w:hAnsi="宋体"/>
          <w:b/>
          <w:sz w:val="24"/>
        </w:rPr>
        <w:t>6.6变更认证信息的条件和程序</w:t>
      </w:r>
    </w:p>
    <w:p>
      <w:pPr>
        <w:spacing w:line="360" w:lineRule="auto"/>
        <w:rPr>
          <w:rFonts w:ascii="宋体" w:hAnsi="宋体"/>
          <w:bCs/>
          <w:sz w:val="24"/>
        </w:rPr>
      </w:pPr>
      <w:r>
        <w:rPr>
          <w:rFonts w:hint="eastAsia" w:ascii="宋体" w:hAnsi="宋体"/>
          <w:bCs/>
          <w:sz w:val="24"/>
        </w:rPr>
        <w:t>6.6.1</w:t>
      </w:r>
      <w:r>
        <w:rPr>
          <w:rFonts w:hint="eastAsia" w:ascii="宋体" w:hAnsi="宋体"/>
          <w:sz w:val="24"/>
        </w:rPr>
        <w:t>变更认证信息的条件和分类</w:t>
      </w:r>
    </w:p>
    <w:p>
      <w:pPr>
        <w:spacing w:line="360" w:lineRule="auto"/>
        <w:rPr>
          <w:rFonts w:ascii="宋体" w:hAnsi="宋体"/>
          <w:sz w:val="24"/>
        </w:rPr>
      </w:pPr>
      <w:r>
        <w:rPr>
          <w:rFonts w:hint="eastAsia" w:ascii="宋体" w:hAnsi="宋体"/>
          <w:sz w:val="24"/>
        </w:rPr>
        <w:t>6.6.1.1变更认证信息的条件</w:t>
      </w:r>
    </w:p>
    <w:p>
      <w:pPr>
        <w:spacing w:line="360" w:lineRule="auto"/>
        <w:ind w:firstLine="480" w:firstLineChars="200"/>
        <w:rPr>
          <w:rFonts w:ascii="宋体" w:hAnsi="宋体"/>
          <w:sz w:val="24"/>
        </w:rPr>
      </w:pPr>
      <w:r>
        <w:rPr>
          <w:rFonts w:hint="eastAsia" w:ascii="宋体" w:hAnsi="宋体"/>
          <w:sz w:val="24"/>
        </w:rPr>
        <w:t>在认证证书有效期内，获证客户因信息发生变更，导致与认证证书信息不一致时，应予以更新。</w:t>
      </w:r>
    </w:p>
    <w:p>
      <w:pPr>
        <w:spacing w:line="360" w:lineRule="auto"/>
        <w:rPr>
          <w:rFonts w:ascii="宋体" w:hAnsi="宋体"/>
          <w:sz w:val="24"/>
        </w:rPr>
      </w:pPr>
      <w:r>
        <w:rPr>
          <w:rFonts w:hint="eastAsia" w:ascii="宋体" w:hAnsi="宋体"/>
          <w:sz w:val="24"/>
        </w:rPr>
        <w:t>6.6.1.2变更认证信息的分类：</w:t>
      </w:r>
    </w:p>
    <w:p>
      <w:pPr>
        <w:numPr>
          <w:ilvl w:val="0"/>
          <w:numId w:val="17"/>
        </w:numPr>
        <w:tabs>
          <w:tab w:val="left" w:pos="720"/>
        </w:tabs>
        <w:spacing w:line="360" w:lineRule="auto"/>
        <w:rPr>
          <w:rFonts w:ascii="宋体" w:hAnsi="宋体" w:cs="宋体"/>
          <w:sz w:val="24"/>
        </w:rPr>
      </w:pPr>
      <w:r>
        <w:rPr>
          <w:rFonts w:hint="eastAsia" w:ascii="宋体" w:hAnsi="宋体" w:cs="宋体"/>
          <w:sz w:val="24"/>
        </w:rPr>
        <w:t>获证客户名称、住所变更；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认证地址变更；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地名变更；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企业人数变更，证书编号变更；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证书范围中的过程或活动的变更。</w:t>
      </w:r>
    </w:p>
    <w:p>
      <w:pPr>
        <w:spacing w:line="360" w:lineRule="auto"/>
        <w:rPr>
          <w:rFonts w:ascii="宋体" w:hAnsi="宋体"/>
          <w:bCs/>
          <w:sz w:val="24"/>
        </w:rPr>
      </w:pPr>
      <w:r>
        <w:rPr>
          <w:rFonts w:hint="eastAsia" w:ascii="宋体" w:hAnsi="宋体"/>
          <w:bCs/>
          <w:sz w:val="24"/>
        </w:rPr>
        <w:t>6.6.2变更认证信息的程序</w:t>
      </w:r>
    </w:p>
    <w:p>
      <w:pPr>
        <w:spacing w:line="360" w:lineRule="auto"/>
        <w:rPr>
          <w:rFonts w:ascii="宋体" w:hAnsi="宋体"/>
          <w:color w:val="000000"/>
          <w:sz w:val="24"/>
        </w:rPr>
      </w:pPr>
      <w:r>
        <w:rPr>
          <w:rFonts w:hint="eastAsia" w:ascii="宋体" w:hAnsi="宋体"/>
          <w:color w:val="000000"/>
          <w:sz w:val="24"/>
        </w:rPr>
        <w:t>6.6.2.1认证信息的变更需提交的资料</w:t>
      </w:r>
    </w:p>
    <w:p>
      <w:pPr>
        <w:spacing w:line="360" w:lineRule="auto"/>
        <w:rPr>
          <w:rFonts w:ascii="宋体" w:hAnsi="宋体"/>
          <w:color w:val="000000"/>
          <w:sz w:val="24"/>
        </w:rPr>
      </w:pPr>
      <w:r>
        <w:rPr>
          <w:rFonts w:hint="eastAsia" w:ascii="宋体" w:hAnsi="宋体"/>
          <w:color w:val="000000"/>
          <w:sz w:val="24"/>
        </w:rPr>
        <w:t>6.6.2.1.1获证客户名称、住所变更应提交的资料</w:t>
      </w:r>
    </w:p>
    <w:p>
      <w:pPr>
        <w:numPr>
          <w:ilvl w:val="0"/>
          <w:numId w:val="18"/>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p>
    <w:p>
      <w:pPr>
        <w:numPr>
          <w:ilvl w:val="0"/>
          <w:numId w:val="18"/>
        </w:numPr>
        <w:spacing w:line="360" w:lineRule="auto"/>
        <w:ind w:left="851" w:hanging="425"/>
        <w:rPr>
          <w:rFonts w:ascii="宋体" w:hAnsi="宋体"/>
          <w:sz w:val="24"/>
        </w:rPr>
      </w:pPr>
      <w:r>
        <w:rPr>
          <w:rFonts w:ascii="宋体" w:hAnsi="宋体"/>
          <w:sz w:val="24"/>
        </w:rPr>
        <w:t>获证客户是企业的，提供工商行政主管部门的变更核准证明及新营业执照复印件；其他性质的获证客户提供允许其设立的政府行政主管部门的相关文件；</w:t>
      </w:r>
    </w:p>
    <w:p>
      <w:pPr>
        <w:numPr>
          <w:ilvl w:val="0"/>
          <w:numId w:val="18"/>
        </w:numPr>
        <w:spacing w:line="360" w:lineRule="auto"/>
        <w:ind w:left="851" w:hanging="425"/>
        <w:rPr>
          <w:rFonts w:ascii="宋体" w:hAnsi="宋体"/>
          <w:sz w:val="24"/>
        </w:rPr>
      </w:pPr>
      <w:r>
        <w:rPr>
          <w:rFonts w:ascii="宋体" w:hAnsi="宋体"/>
          <w:sz w:val="24"/>
        </w:rPr>
        <w:t>对于因改制、企业重组引起的名称变更，</w:t>
      </w:r>
      <w:r>
        <w:rPr>
          <w:rFonts w:hint="eastAsia" w:ascii="宋体" w:hAnsi="宋体"/>
          <w:sz w:val="24"/>
        </w:rPr>
        <w:t>获证客户</w:t>
      </w:r>
      <w:r>
        <w:rPr>
          <w:rFonts w:ascii="宋体" w:hAnsi="宋体"/>
          <w:sz w:val="24"/>
        </w:rPr>
        <w:t>不能获得名称变更核准证明时，应</w:t>
      </w:r>
      <w:r>
        <w:rPr>
          <w:rFonts w:hint="eastAsia" w:ascii="宋体" w:hAnsi="宋体"/>
          <w:sz w:val="24"/>
        </w:rPr>
        <w:t>提交</w:t>
      </w:r>
      <w:r>
        <w:rPr>
          <w:rFonts w:ascii="宋体" w:hAnsi="宋体"/>
          <w:sz w:val="24"/>
        </w:rPr>
        <w:t>组织以原名称和现名称名义的更名申请、政府有关部门的批文和原名称注销证明；并</w:t>
      </w:r>
      <w:r>
        <w:rPr>
          <w:rFonts w:hint="eastAsia" w:ascii="宋体" w:hAnsi="宋体"/>
          <w:sz w:val="24"/>
        </w:rPr>
        <w:t>需因</w:t>
      </w:r>
      <w:r>
        <w:rPr>
          <w:rFonts w:ascii="宋体" w:hAnsi="宋体"/>
          <w:sz w:val="24"/>
        </w:rPr>
        <w:t>管理体系发生重大变更</w:t>
      </w:r>
      <w:r>
        <w:rPr>
          <w:rFonts w:hint="eastAsia" w:ascii="宋体" w:hAnsi="宋体"/>
          <w:sz w:val="24"/>
        </w:rPr>
        <w:t>接受CQM的</w:t>
      </w:r>
      <w:r>
        <w:rPr>
          <w:rFonts w:ascii="宋体" w:hAnsi="宋体"/>
          <w:sz w:val="24"/>
        </w:rPr>
        <w:t>一次监督审核和审定</w:t>
      </w:r>
      <w:r>
        <w:rPr>
          <w:rFonts w:hint="eastAsia" w:ascii="宋体" w:hAnsi="宋体"/>
          <w:sz w:val="24"/>
        </w:rPr>
        <w:t>；</w:t>
      </w:r>
    </w:p>
    <w:p>
      <w:pPr>
        <w:numPr>
          <w:ilvl w:val="0"/>
          <w:numId w:val="18"/>
        </w:numPr>
        <w:spacing w:line="360" w:lineRule="auto"/>
        <w:ind w:left="851" w:hanging="425"/>
        <w:rPr>
          <w:rFonts w:ascii="宋体" w:hAnsi="宋体"/>
          <w:sz w:val="24"/>
        </w:rPr>
      </w:pPr>
      <w:r>
        <w:rPr>
          <w:rFonts w:hint="eastAsia" w:ascii="宋体" w:hAnsi="宋体"/>
          <w:sz w:val="24"/>
        </w:rPr>
        <w:t>有行政许可、资质等要求的获证客户，还应提供按新名称变更后的有关文件。</w:t>
      </w:r>
    </w:p>
    <w:p>
      <w:pPr>
        <w:spacing w:line="360" w:lineRule="auto"/>
        <w:rPr>
          <w:rFonts w:ascii="宋体" w:hAnsi="宋体"/>
          <w:color w:val="000000"/>
          <w:sz w:val="24"/>
        </w:rPr>
      </w:pPr>
      <w:r>
        <w:rPr>
          <w:rFonts w:hint="eastAsia" w:ascii="宋体" w:hAnsi="宋体"/>
          <w:color w:val="000000"/>
          <w:sz w:val="24"/>
        </w:rPr>
        <w:t>6.6.2.1.2认证地址变更需要提交的资料</w:t>
      </w:r>
    </w:p>
    <w:p>
      <w:pPr>
        <w:numPr>
          <w:ilvl w:val="0"/>
          <w:numId w:val="19"/>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p>
    <w:p>
      <w:pPr>
        <w:numPr>
          <w:ilvl w:val="0"/>
          <w:numId w:val="19"/>
        </w:numPr>
        <w:spacing w:line="360" w:lineRule="auto"/>
        <w:ind w:left="851" w:hanging="425"/>
        <w:rPr>
          <w:rFonts w:ascii="宋体" w:hAnsi="宋体"/>
          <w:sz w:val="24"/>
        </w:rPr>
      </w:pPr>
      <w:r>
        <w:rPr>
          <w:rFonts w:hint="eastAsia" w:ascii="宋体" w:hAnsi="宋体"/>
          <w:sz w:val="24"/>
        </w:rPr>
        <w:t>有行政许可、资质等要求的获证客户，还应提供按新地址变更后的法规要求的有关文件。</w:t>
      </w:r>
    </w:p>
    <w:p>
      <w:pPr>
        <w:spacing w:line="360" w:lineRule="auto"/>
        <w:rPr>
          <w:rFonts w:ascii="宋体" w:hAnsi="宋体"/>
          <w:color w:val="000000"/>
          <w:sz w:val="24"/>
        </w:rPr>
      </w:pPr>
      <w:r>
        <w:rPr>
          <w:rFonts w:hint="eastAsia" w:ascii="宋体" w:hAnsi="宋体"/>
          <w:color w:val="000000"/>
          <w:sz w:val="24"/>
        </w:rPr>
        <w:t>6.6.2.1.3 地名变更需要提交的资料</w:t>
      </w:r>
    </w:p>
    <w:p>
      <w:pPr>
        <w:numPr>
          <w:ilvl w:val="0"/>
          <w:numId w:val="20"/>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r>
        <w:rPr>
          <w:rFonts w:hint="eastAsia" w:ascii="宋体" w:hAnsi="宋体"/>
          <w:sz w:val="24"/>
        </w:rPr>
        <w:t>；</w:t>
      </w:r>
    </w:p>
    <w:p>
      <w:pPr>
        <w:numPr>
          <w:ilvl w:val="0"/>
          <w:numId w:val="20"/>
        </w:numPr>
        <w:spacing w:line="360" w:lineRule="auto"/>
        <w:ind w:left="851" w:hanging="425"/>
        <w:rPr>
          <w:rFonts w:ascii="宋体" w:hAnsi="宋体"/>
          <w:sz w:val="24"/>
        </w:rPr>
      </w:pPr>
      <w:r>
        <w:rPr>
          <w:rFonts w:hint="eastAsia" w:ascii="宋体" w:hAnsi="宋体"/>
          <w:sz w:val="24"/>
        </w:rPr>
        <w:t>当地政府的相关证明；</w:t>
      </w:r>
    </w:p>
    <w:p>
      <w:pPr>
        <w:numPr>
          <w:ilvl w:val="0"/>
          <w:numId w:val="20"/>
        </w:numPr>
        <w:spacing w:line="360" w:lineRule="auto"/>
        <w:ind w:left="851" w:hanging="425"/>
        <w:rPr>
          <w:rFonts w:ascii="宋体" w:hAnsi="宋体"/>
          <w:sz w:val="24"/>
        </w:rPr>
      </w:pPr>
      <w:r>
        <w:rPr>
          <w:rFonts w:hint="eastAsia" w:ascii="宋体" w:hAnsi="宋体"/>
          <w:sz w:val="24"/>
        </w:rPr>
        <w:t>对有行政许可、资质等要求的获证客户，还应提供按新地址变更后的有关文件。</w:t>
      </w:r>
    </w:p>
    <w:p>
      <w:pPr>
        <w:spacing w:line="360" w:lineRule="auto"/>
        <w:rPr>
          <w:rFonts w:ascii="宋体" w:hAnsi="宋体"/>
          <w:color w:val="000000"/>
          <w:sz w:val="24"/>
        </w:rPr>
      </w:pPr>
      <w:r>
        <w:rPr>
          <w:rFonts w:hint="eastAsia" w:ascii="宋体" w:hAnsi="宋体"/>
          <w:color w:val="000000"/>
          <w:sz w:val="24"/>
        </w:rPr>
        <w:t>6.6.2.1.4企业增加人数，证书编号变更需要提交的资料</w:t>
      </w:r>
    </w:p>
    <w:p>
      <w:pPr>
        <w:spacing w:line="360" w:lineRule="auto"/>
        <w:ind w:firstLine="480" w:firstLineChars="200"/>
        <w:rPr>
          <w:rFonts w:ascii="宋体" w:hAnsi="宋体"/>
          <w:color w:val="000000"/>
          <w:sz w:val="24"/>
        </w:rPr>
      </w:pPr>
      <w:r>
        <w:rPr>
          <w:rFonts w:hint="eastAsia" w:ascii="宋体" w:hAnsi="宋体"/>
          <w:sz w:val="24"/>
        </w:rPr>
        <w:t>获证客户</w:t>
      </w:r>
      <w:r>
        <w:rPr>
          <w:rFonts w:ascii="宋体" w:hAnsi="宋体"/>
          <w:color w:val="000000"/>
          <w:sz w:val="24"/>
        </w:rPr>
        <w:t>提出</w:t>
      </w:r>
      <w:r>
        <w:rPr>
          <w:rFonts w:hint="eastAsia" w:ascii="宋体" w:hAnsi="宋体"/>
          <w:color w:val="000000"/>
          <w:sz w:val="24"/>
        </w:rPr>
        <w:t>企业增加人数时，需提交变更企业人数和证书编号的书面申请。</w:t>
      </w:r>
    </w:p>
    <w:p>
      <w:pPr>
        <w:spacing w:line="360" w:lineRule="auto"/>
        <w:rPr>
          <w:rFonts w:ascii="宋体" w:hAnsi="宋体"/>
          <w:color w:val="000000"/>
          <w:sz w:val="24"/>
        </w:rPr>
      </w:pPr>
      <w:r>
        <w:rPr>
          <w:rFonts w:hint="eastAsia" w:ascii="宋体" w:hAnsi="宋体"/>
          <w:color w:val="000000"/>
          <w:sz w:val="24"/>
        </w:rPr>
        <w:t>6.6.2.1.5 证书范围中的过程或活动的变更需要提交的资料</w:t>
      </w:r>
    </w:p>
    <w:p>
      <w:pPr>
        <w:numPr>
          <w:ilvl w:val="1"/>
          <w:numId w:val="21"/>
        </w:numPr>
        <w:spacing w:line="360" w:lineRule="auto"/>
        <w:ind w:left="709" w:hanging="283"/>
        <w:rPr>
          <w:rFonts w:ascii="宋体" w:hAnsi="宋体"/>
          <w:color w:val="000000"/>
          <w:sz w:val="24"/>
        </w:rPr>
      </w:pPr>
      <w:r>
        <w:rPr>
          <w:rFonts w:hint="eastAsia" w:ascii="宋体" w:hAnsi="宋体"/>
          <w:color w:val="000000"/>
          <w:sz w:val="24"/>
        </w:rPr>
        <w:t>获证客户</w:t>
      </w:r>
      <w:r>
        <w:rPr>
          <w:rFonts w:ascii="宋体" w:hAnsi="宋体"/>
          <w:color w:val="000000"/>
          <w:sz w:val="24"/>
        </w:rPr>
        <w:t>的</w:t>
      </w:r>
      <w:r>
        <w:rPr>
          <w:rFonts w:hint="eastAsia" w:ascii="宋体" w:hAnsi="宋体"/>
          <w:color w:val="000000"/>
          <w:sz w:val="24"/>
        </w:rPr>
        <w:t>书面</w:t>
      </w:r>
      <w:r>
        <w:rPr>
          <w:rFonts w:ascii="宋体" w:hAnsi="宋体"/>
          <w:color w:val="000000"/>
          <w:sz w:val="24"/>
        </w:rPr>
        <w:t>变更申请</w:t>
      </w:r>
      <w:r>
        <w:rPr>
          <w:rFonts w:hint="eastAsia" w:ascii="宋体" w:hAnsi="宋体"/>
          <w:color w:val="000000"/>
          <w:sz w:val="24"/>
        </w:rPr>
        <w:t>；</w:t>
      </w:r>
    </w:p>
    <w:p>
      <w:pPr>
        <w:numPr>
          <w:ilvl w:val="0"/>
          <w:numId w:val="21"/>
        </w:numPr>
        <w:tabs>
          <w:tab w:val="left" w:pos="720"/>
        </w:tabs>
        <w:spacing w:line="360" w:lineRule="auto"/>
        <w:rPr>
          <w:rFonts w:ascii="宋体" w:hAnsi="宋体" w:cs="宋体"/>
          <w:sz w:val="24"/>
        </w:rPr>
      </w:pPr>
      <w:r>
        <w:rPr>
          <w:rFonts w:hint="eastAsia" w:ascii="宋体" w:hAnsi="宋体"/>
          <w:color w:val="000000"/>
          <w:sz w:val="24"/>
        </w:rPr>
        <w:t>对有行政许可、资质等要求的认证范围，还应提供相应文件复印件。</w:t>
      </w:r>
    </w:p>
    <w:p>
      <w:pPr>
        <w:spacing w:line="360" w:lineRule="auto"/>
        <w:rPr>
          <w:rFonts w:ascii="宋体" w:hAnsi="宋体"/>
          <w:color w:val="000000"/>
          <w:sz w:val="24"/>
        </w:rPr>
      </w:pPr>
      <w:r>
        <w:rPr>
          <w:rFonts w:hint="eastAsia" w:ascii="宋体" w:hAnsi="宋体"/>
          <w:color w:val="000000"/>
          <w:sz w:val="24"/>
        </w:rPr>
        <w:t>6.6.2.2 认证信息变更的办理流程</w:t>
      </w:r>
    </w:p>
    <w:p>
      <w:pPr>
        <w:numPr>
          <w:ilvl w:val="0"/>
          <w:numId w:val="22"/>
        </w:numPr>
        <w:tabs>
          <w:tab w:val="left" w:pos="709"/>
          <w:tab w:val="clear" w:pos="1050"/>
        </w:tabs>
        <w:spacing w:line="360" w:lineRule="auto"/>
        <w:ind w:left="709" w:hanging="349"/>
        <w:rPr>
          <w:rFonts w:ascii="宋体" w:hAnsi="宋体" w:cs="宋体"/>
          <w:sz w:val="24"/>
        </w:rPr>
      </w:pPr>
      <w:r>
        <w:rPr>
          <w:rFonts w:hint="eastAsia" w:ascii="宋体" w:hAnsi="宋体" w:cs="宋体"/>
          <w:sz w:val="24"/>
        </w:rPr>
        <w:t>获证客户根据6.6.1要求向CQM正式提交满足6.6.2.1要求的申请和相关文件资料；</w:t>
      </w:r>
    </w:p>
    <w:p>
      <w:pPr>
        <w:numPr>
          <w:ilvl w:val="0"/>
          <w:numId w:val="22"/>
        </w:numPr>
        <w:tabs>
          <w:tab w:val="left" w:pos="720"/>
        </w:tabs>
        <w:spacing w:line="360" w:lineRule="auto"/>
        <w:rPr>
          <w:rFonts w:ascii="宋体" w:hAnsi="宋体" w:cs="宋体"/>
          <w:sz w:val="24"/>
        </w:rPr>
      </w:pPr>
      <w:r>
        <w:rPr>
          <w:rFonts w:hint="eastAsia" w:ascii="宋体" w:hAnsi="宋体" w:cs="宋体"/>
          <w:sz w:val="24"/>
        </w:rPr>
        <w:t>需要时，获证客户应接受CQM的审核；</w:t>
      </w:r>
    </w:p>
    <w:p>
      <w:pPr>
        <w:numPr>
          <w:ilvl w:val="0"/>
          <w:numId w:val="22"/>
        </w:numPr>
        <w:tabs>
          <w:tab w:val="left" w:pos="709"/>
          <w:tab w:val="clear" w:pos="1050"/>
        </w:tabs>
        <w:spacing w:line="360" w:lineRule="auto"/>
        <w:ind w:left="709" w:hanging="349"/>
        <w:rPr>
          <w:rFonts w:ascii="宋体" w:hAnsi="宋体" w:cs="宋体"/>
          <w:sz w:val="24"/>
        </w:rPr>
      </w:pPr>
      <w:r>
        <w:rPr>
          <w:rFonts w:hint="eastAsia" w:ascii="宋体" w:hAnsi="宋体" w:cs="宋体"/>
          <w:sz w:val="24"/>
        </w:rPr>
        <w:t>经CQM审定，认为获证客户满足认证信息变更的条件，同意批准认证信息变更；</w:t>
      </w:r>
    </w:p>
    <w:p>
      <w:pPr>
        <w:numPr>
          <w:ilvl w:val="0"/>
          <w:numId w:val="22"/>
        </w:numPr>
        <w:tabs>
          <w:tab w:val="left" w:pos="709"/>
          <w:tab w:val="clear" w:pos="1050"/>
        </w:tabs>
        <w:spacing w:line="360" w:lineRule="auto"/>
        <w:ind w:left="709" w:hanging="349"/>
        <w:rPr>
          <w:rFonts w:ascii="宋体" w:hAnsi="宋体" w:cs="宋体"/>
          <w:sz w:val="24"/>
        </w:rPr>
      </w:pPr>
      <w:r>
        <w:rPr>
          <w:rFonts w:hint="eastAsia" w:ascii="宋体" w:hAnsi="宋体" w:cs="宋体"/>
          <w:sz w:val="24"/>
        </w:rPr>
        <w:t>CQM收回原认证证书，换发认证证书或附件，认证证书的有效期保持不变。</w:t>
      </w:r>
    </w:p>
    <w:p>
      <w:pPr>
        <w:spacing w:line="360" w:lineRule="auto"/>
        <w:rPr>
          <w:rFonts w:ascii="宋体" w:hAnsi="宋体"/>
          <w:b/>
          <w:sz w:val="24"/>
        </w:rPr>
      </w:pPr>
      <w:r>
        <w:rPr>
          <w:rFonts w:hint="eastAsia" w:ascii="宋体" w:hAnsi="宋体"/>
          <w:b/>
          <w:sz w:val="24"/>
        </w:rPr>
        <w:t>6.7暂停认证资格的条件和程序</w:t>
      </w:r>
    </w:p>
    <w:p>
      <w:pPr>
        <w:spacing w:line="360" w:lineRule="auto"/>
        <w:rPr>
          <w:rFonts w:ascii="宋体" w:hAnsi="宋体"/>
          <w:bCs/>
          <w:sz w:val="24"/>
        </w:rPr>
      </w:pPr>
      <w:r>
        <w:rPr>
          <w:rFonts w:hint="eastAsia" w:ascii="宋体" w:hAnsi="宋体"/>
          <w:bCs/>
          <w:sz w:val="24"/>
        </w:rPr>
        <w:t>6.7.1 暂停认证资格的条件</w:t>
      </w:r>
    </w:p>
    <w:p>
      <w:pPr>
        <w:spacing w:line="360" w:lineRule="auto"/>
        <w:ind w:firstLine="480" w:firstLineChars="200"/>
        <w:rPr>
          <w:rFonts w:ascii="宋体" w:hAnsi="宋体"/>
          <w:color w:val="000000"/>
          <w:sz w:val="24"/>
        </w:rPr>
      </w:pPr>
      <w:r>
        <w:rPr>
          <w:rFonts w:hint="eastAsia" w:ascii="宋体" w:hAnsi="宋体"/>
          <w:bCs/>
          <w:iCs/>
          <w:sz w:val="24"/>
        </w:rPr>
        <w:t>符合下列条件之一的获证客户，CQM将暂停其认证证书</w:t>
      </w:r>
      <w:r>
        <w:rPr>
          <w:rFonts w:hint="eastAsia" w:ascii="宋体" w:hAnsi="宋体"/>
          <w:color w:val="000000"/>
          <w:sz w:val="24"/>
        </w:rPr>
        <w:t>：</w:t>
      </w:r>
    </w:p>
    <w:p>
      <w:pPr>
        <w:spacing w:line="360" w:lineRule="auto"/>
        <w:ind w:left="-4" w:firstLine="4"/>
        <w:rPr>
          <w:rFonts w:ascii="宋体" w:hAnsi="宋体"/>
          <w:color w:val="000000"/>
          <w:sz w:val="24"/>
        </w:rPr>
      </w:pPr>
      <w:r>
        <w:rPr>
          <w:rFonts w:hint="eastAsia" w:ascii="宋体" w:hAnsi="宋体"/>
          <w:color w:val="000000"/>
          <w:sz w:val="24"/>
        </w:rPr>
        <w:t>——</w:t>
      </w:r>
      <w:r>
        <w:rPr>
          <w:rFonts w:hint="eastAsia" w:ascii="宋体" w:hAnsi="宋体" w:cs="宋体"/>
          <w:sz w:val="24"/>
        </w:rPr>
        <w:t>获证客户管理体系持续或严重不满足认证要求，包括对社会责任管理体系运行有效性要求的。</w:t>
      </w:r>
    </w:p>
    <w:p>
      <w:pPr>
        <w:numPr>
          <w:ilvl w:val="0"/>
          <w:numId w:val="23"/>
        </w:numPr>
        <w:spacing w:line="360" w:lineRule="auto"/>
        <w:ind w:left="851" w:hanging="425"/>
        <w:rPr>
          <w:rFonts w:ascii="宋体" w:hAnsi="宋体"/>
          <w:sz w:val="24"/>
        </w:rPr>
      </w:pPr>
      <w:r>
        <w:rPr>
          <w:rFonts w:hint="eastAsia" w:ascii="宋体" w:hAnsi="宋体"/>
          <w:sz w:val="24"/>
        </w:rPr>
        <w:t>获证客户的管理体系发生重大变更，不能持续符合认证标准/规范性文件要求；</w:t>
      </w:r>
    </w:p>
    <w:p>
      <w:pPr>
        <w:numPr>
          <w:ilvl w:val="0"/>
          <w:numId w:val="23"/>
        </w:numPr>
        <w:spacing w:line="360" w:lineRule="auto"/>
        <w:ind w:left="851" w:hanging="425"/>
        <w:rPr>
          <w:rFonts w:ascii="宋体" w:hAnsi="宋体"/>
          <w:sz w:val="24"/>
        </w:rPr>
      </w:pPr>
      <w:r>
        <w:rPr>
          <w:rFonts w:hint="eastAsia" w:ascii="宋体" w:hAnsi="宋体"/>
          <w:sz w:val="24"/>
        </w:rPr>
        <w:t>获证客户监督审核期间发生严重影响体系运行的情况；</w:t>
      </w:r>
    </w:p>
    <w:p>
      <w:pPr>
        <w:numPr>
          <w:ilvl w:val="0"/>
          <w:numId w:val="23"/>
        </w:numPr>
        <w:spacing w:line="360" w:lineRule="auto"/>
        <w:ind w:left="851" w:hanging="425"/>
        <w:rPr>
          <w:rFonts w:ascii="宋体" w:hAnsi="宋体"/>
          <w:sz w:val="24"/>
        </w:rPr>
      </w:pPr>
      <w:r>
        <w:rPr>
          <w:rFonts w:hint="eastAsia" w:ascii="宋体" w:hAnsi="宋体"/>
          <w:sz w:val="24"/>
        </w:rPr>
        <w:t>获证客户在认证范围内的过程和活动不能满足适用的最新法律法规和标准的要求，并未采取措施或措施无效；</w:t>
      </w:r>
    </w:p>
    <w:p>
      <w:pPr>
        <w:numPr>
          <w:ilvl w:val="0"/>
          <w:numId w:val="23"/>
        </w:numPr>
        <w:spacing w:line="360" w:lineRule="auto"/>
        <w:ind w:left="11" w:firstLine="415"/>
        <w:rPr>
          <w:rFonts w:ascii="宋体" w:hAnsi="宋体"/>
          <w:color w:val="000000"/>
          <w:sz w:val="24"/>
        </w:rPr>
      </w:pPr>
      <w:r>
        <w:rPr>
          <w:rFonts w:hint="eastAsia" w:ascii="宋体" w:hAnsi="宋体"/>
          <w:sz w:val="24"/>
        </w:rPr>
        <w:t>获证客户未按照认证要求的变更做出相应调整，或调整不满足变更要求；</w:t>
      </w:r>
      <w:r>
        <w:rPr>
          <w:rFonts w:hint="eastAsia" w:ascii="宋体" w:hAnsi="宋体"/>
          <w:color w:val="000000"/>
          <w:sz w:val="24"/>
        </w:rPr>
        <w:t>——获证客户不承担、履行认证合同约定的责任和义务。</w:t>
      </w:r>
    </w:p>
    <w:p>
      <w:pPr>
        <w:numPr>
          <w:ilvl w:val="0"/>
          <w:numId w:val="24"/>
        </w:numPr>
        <w:spacing w:line="360" w:lineRule="auto"/>
        <w:ind w:left="851" w:hanging="425"/>
        <w:rPr>
          <w:rFonts w:ascii="宋体" w:hAnsi="宋体"/>
          <w:sz w:val="24"/>
        </w:rPr>
      </w:pPr>
      <w:r>
        <w:rPr>
          <w:rFonts w:hint="eastAsia" w:ascii="宋体" w:hAnsi="宋体"/>
          <w:sz w:val="24"/>
        </w:rPr>
        <w:t>获证客户未能在规定的期限内接受监督或再认证审核；</w:t>
      </w:r>
    </w:p>
    <w:p>
      <w:pPr>
        <w:numPr>
          <w:ilvl w:val="0"/>
          <w:numId w:val="24"/>
        </w:numPr>
        <w:spacing w:line="360" w:lineRule="auto"/>
        <w:ind w:left="851" w:hanging="425"/>
        <w:rPr>
          <w:rFonts w:ascii="宋体" w:hAnsi="宋体"/>
          <w:sz w:val="24"/>
        </w:rPr>
      </w:pPr>
      <w:r>
        <w:rPr>
          <w:rFonts w:hint="eastAsia" w:ascii="宋体" w:hAnsi="宋体"/>
          <w:sz w:val="24"/>
        </w:rPr>
        <w:t>获证客户未履行与CQM签署认证合同中规定的责任和义务，并对保持认证资格产生重大影响；</w:t>
      </w:r>
    </w:p>
    <w:p>
      <w:pPr>
        <w:numPr>
          <w:ilvl w:val="0"/>
          <w:numId w:val="24"/>
        </w:numPr>
        <w:spacing w:line="360" w:lineRule="auto"/>
        <w:ind w:left="851" w:hanging="425"/>
        <w:rPr>
          <w:rFonts w:ascii="宋体" w:hAnsi="宋体"/>
          <w:sz w:val="24"/>
        </w:rPr>
      </w:pPr>
      <w:r>
        <w:rPr>
          <w:rFonts w:hint="eastAsia" w:ascii="宋体" w:hAnsi="宋体"/>
          <w:sz w:val="24"/>
        </w:rPr>
        <w:t>获证客户未按照认证合同规定缴纳认证费用；</w:t>
      </w:r>
    </w:p>
    <w:p>
      <w:pPr>
        <w:numPr>
          <w:ilvl w:val="0"/>
          <w:numId w:val="24"/>
        </w:numPr>
        <w:spacing w:line="360" w:lineRule="auto"/>
        <w:ind w:left="851" w:hanging="425"/>
        <w:rPr>
          <w:rFonts w:ascii="宋体" w:hAnsi="宋体"/>
          <w:sz w:val="24"/>
        </w:rPr>
      </w:pPr>
      <w:r>
        <w:rPr>
          <w:rFonts w:hint="eastAsia" w:ascii="宋体" w:hAnsi="宋体"/>
          <w:sz w:val="24"/>
        </w:rPr>
        <w:t>获证客户在获证期间发生误用认证证书和认证标志，并未能及时有效地采取纠正和纠正措施，以将产生的影响降至最少程度。</w:t>
      </w:r>
    </w:p>
    <w:p>
      <w:pPr>
        <w:spacing w:line="360" w:lineRule="auto"/>
        <w:rPr>
          <w:rFonts w:ascii="宋体" w:hAnsi="宋体"/>
          <w:color w:val="000000"/>
          <w:sz w:val="24"/>
        </w:rPr>
      </w:pPr>
      <w:r>
        <w:rPr>
          <w:rFonts w:hint="eastAsia" w:ascii="宋体" w:hAnsi="宋体"/>
          <w:color w:val="000000"/>
          <w:sz w:val="24"/>
        </w:rPr>
        <w:t>——获证客户在证书有效期间受到相关执法监管部门处罚。</w:t>
      </w:r>
    </w:p>
    <w:p>
      <w:pPr>
        <w:numPr>
          <w:ilvl w:val="0"/>
          <w:numId w:val="25"/>
        </w:numPr>
        <w:spacing w:line="360" w:lineRule="auto"/>
        <w:ind w:left="851" w:hanging="425"/>
        <w:rPr>
          <w:rFonts w:ascii="宋体" w:hAnsi="宋体"/>
          <w:sz w:val="24"/>
        </w:rPr>
      </w:pPr>
      <w:r>
        <w:rPr>
          <w:rFonts w:hint="eastAsia" w:ascii="宋体" w:hAnsi="宋体"/>
          <w:sz w:val="24"/>
        </w:rPr>
        <w:t>获证客户未按要求对信息进行通报。</w:t>
      </w:r>
    </w:p>
    <w:p>
      <w:pPr>
        <w:spacing w:line="360" w:lineRule="auto"/>
        <w:rPr>
          <w:rFonts w:ascii="宋体" w:hAnsi="宋体" w:cs="宋体"/>
          <w:sz w:val="24"/>
        </w:rPr>
      </w:pPr>
      <w:r>
        <w:rPr>
          <w:rFonts w:hint="eastAsia" w:ascii="宋体" w:hAnsi="宋体"/>
          <w:color w:val="000000"/>
          <w:sz w:val="24"/>
        </w:rPr>
        <w:t>——</w:t>
      </w:r>
      <w:r>
        <w:rPr>
          <w:rFonts w:hint="eastAsia" w:ascii="宋体" w:hAnsi="宋体" w:cs="宋体"/>
          <w:sz w:val="24"/>
        </w:rPr>
        <w:t>获证客户被地方认证监管部门发现体系运行存在问题。</w:t>
      </w:r>
    </w:p>
    <w:p>
      <w:pPr>
        <w:numPr>
          <w:ilvl w:val="0"/>
          <w:numId w:val="26"/>
        </w:numPr>
        <w:spacing w:line="360" w:lineRule="auto"/>
        <w:ind w:left="851" w:hanging="425"/>
        <w:rPr>
          <w:rFonts w:ascii="宋体" w:hAnsi="宋体"/>
          <w:sz w:val="24"/>
        </w:rPr>
      </w:pPr>
      <w:r>
        <w:rPr>
          <w:rFonts w:hint="eastAsia" w:ascii="宋体" w:hAnsi="宋体"/>
          <w:sz w:val="24"/>
        </w:rPr>
        <w:t>获证客户于获证期间在认证范围内发生国家抽检不合格，并未查明原因和采取补救措施。</w:t>
      </w:r>
    </w:p>
    <w:p>
      <w:pPr>
        <w:spacing w:line="360" w:lineRule="auto"/>
        <w:rPr>
          <w:rFonts w:ascii="宋体" w:hAnsi="宋体" w:cs="宋体"/>
          <w:sz w:val="24"/>
        </w:rPr>
      </w:pPr>
      <w:r>
        <w:rPr>
          <w:rFonts w:hint="eastAsia" w:ascii="宋体" w:hAnsi="宋体" w:cs="宋体"/>
          <w:sz w:val="24"/>
        </w:rPr>
        <w:t>——获证客户持有的行政许可证明、资质证书、强制性认证证书等过期失效，重新提交的申请已被受理但尚未换证。</w:t>
      </w:r>
    </w:p>
    <w:p>
      <w:pPr>
        <w:numPr>
          <w:ilvl w:val="0"/>
          <w:numId w:val="27"/>
        </w:numPr>
        <w:spacing w:line="360" w:lineRule="auto"/>
        <w:ind w:left="851" w:hanging="425"/>
        <w:rPr>
          <w:rFonts w:ascii="宋体" w:hAnsi="宋体"/>
          <w:sz w:val="24"/>
        </w:rPr>
      </w:pPr>
      <w:r>
        <w:rPr>
          <w:rFonts w:hint="eastAsia" w:ascii="宋体" w:hAnsi="宋体"/>
          <w:sz w:val="24"/>
        </w:rPr>
        <w:t>获证客户的法律地位、资质不再符合国家的最新要求；</w:t>
      </w:r>
    </w:p>
    <w:p>
      <w:pPr>
        <w:numPr>
          <w:ilvl w:val="0"/>
          <w:numId w:val="27"/>
        </w:numPr>
        <w:spacing w:line="360" w:lineRule="auto"/>
        <w:ind w:left="851" w:hanging="425"/>
        <w:rPr>
          <w:rFonts w:ascii="宋体" w:hAnsi="宋体"/>
          <w:sz w:val="24"/>
        </w:rPr>
      </w:pPr>
      <w:r>
        <w:rPr>
          <w:rFonts w:hint="eastAsia" w:ascii="宋体" w:hAnsi="宋体"/>
          <w:sz w:val="24"/>
        </w:rPr>
        <w:t>获证客户的认证范围已不在现行有效的法律地位文件和资质规定的范围内，但仍有可能在短期内符合规定要求。</w:t>
      </w:r>
    </w:p>
    <w:p>
      <w:pPr>
        <w:spacing w:line="360" w:lineRule="auto"/>
        <w:rPr>
          <w:rFonts w:ascii="宋体" w:hAnsi="宋体" w:cs="宋体"/>
          <w:sz w:val="24"/>
        </w:rPr>
      </w:pPr>
      <w:r>
        <w:rPr>
          <w:rFonts w:hint="eastAsia" w:ascii="宋体" w:hAnsi="宋体" w:cs="宋体"/>
          <w:sz w:val="24"/>
        </w:rPr>
        <w:t>——获证客户主动请求暂停。</w:t>
      </w:r>
    </w:p>
    <w:p>
      <w:pPr>
        <w:spacing w:line="360" w:lineRule="auto"/>
        <w:rPr>
          <w:rFonts w:ascii="宋体" w:hAnsi="宋体" w:cs="宋体"/>
          <w:sz w:val="24"/>
        </w:rPr>
      </w:pPr>
      <w:r>
        <w:rPr>
          <w:rFonts w:hint="eastAsia" w:ascii="宋体" w:hAnsi="宋体" w:cs="宋体"/>
          <w:sz w:val="24"/>
        </w:rPr>
        <w:t>——获证客户发生了与违反国家法律法规的重大事故，反映出获证客户的体系建立及运行存在重大缺陷。</w:t>
      </w:r>
    </w:p>
    <w:p>
      <w:pPr>
        <w:numPr>
          <w:ilvl w:val="0"/>
          <w:numId w:val="28"/>
        </w:numPr>
        <w:spacing w:line="360" w:lineRule="auto"/>
        <w:ind w:left="851" w:hanging="425"/>
        <w:rPr>
          <w:rFonts w:ascii="宋体" w:hAnsi="宋体"/>
          <w:sz w:val="24"/>
        </w:rPr>
      </w:pPr>
      <w:r>
        <w:rPr>
          <w:rFonts w:hint="eastAsia" w:ascii="宋体" w:hAnsi="宋体"/>
          <w:sz w:val="24"/>
        </w:rPr>
        <w:t>获证客户于获证期间在认证范围内发生重大事故被媒体曝光、或未查明原因和采取补救措施；</w:t>
      </w:r>
    </w:p>
    <w:p>
      <w:pPr>
        <w:spacing w:line="360" w:lineRule="auto"/>
        <w:rPr>
          <w:rFonts w:ascii="宋体" w:hAnsi="宋体" w:cs="宋体"/>
          <w:sz w:val="24"/>
        </w:rPr>
      </w:pPr>
      <w:r>
        <w:rPr>
          <w:rFonts w:hint="eastAsia" w:ascii="宋体" w:hAnsi="宋体" w:cs="宋体"/>
          <w:sz w:val="24"/>
        </w:rPr>
        <w:t>——其他原因需要暂停证书。</w:t>
      </w:r>
    </w:p>
    <w:p>
      <w:pPr>
        <w:spacing w:line="360" w:lineRule="auto"/>
        <w:rPr>
          <w:rFonts w:ascii="宋体" w:hAnsi="宋体"/>
          <w:bCs/>
          <w:sz w:val="24"/>
        </w:rPr>
      </w:pPr>
      <w:r>
        <w:rPr>
          <w:rFonts w:hint="eastAsia" w:ascii="宋体" w:hAnsi="宋体"/>
          <w:bCs/>
          <w:sz w:val="24"/>
        </w:rPr>
        <w:t>6.7.2 暂停认证资格的程序</w:t>
      </w:r>
    </w:p>
    <w:p>
      <w:pPr>
        <w:numPr>
          <w:ilvl w:val="0"/>
          <w:numId w:val="29"/>
        </w:numPr>
        <w:spacing w:line="360" w:lineRule="auto"/>
        <w:rPr>
          <w:rFonts w:ascii="宋体" w:hAnsi="宋体" w:cs="宋体"/>
          <w:sz w:val="24"/>
        </w:rPr>
      </w:pPr>
      <w:r>
        <w:rPr>
          <w:rFonts w:hint="eastAsia" w:ascii="宋体" w:hAnsi="宋体" w:cs="宋体"/>
          <w:sz w:val="24"/>
        </w:rPr>
        <w:t>CQM提出对获证客户暂停全部或部分认证范围内认证资格的建议，并提供理由和证据,或由获证客户向CQM提出暂停认证资格的申请；</w:t>
      </w:r>
    </w:p>
    <w:p>
      <w:pPr>
        <w:numPr>
          <w:ilvl w:val="0"/>
          <w:numId w:val="29"/>
        </w:numPr>
        <w:spacing w:line="360" w:lineRule="auto"/>
        <w:ind w:left="709" w:hanging="349"/>
        <w:rPr>
          <w:rFonts w:ascii="宋体" w:hAnsi="宋体" w:cs="宋体"/>
          <w:sz w:val="24"/>
        </w:rPr>
      </w:pPr>
      <w:r>
        <w:rPr>
          <w:rFonts w:hint="eastAsia" w:ascii="宋体" w:hAnsi="宋体" w:cs="宋体"/>
          <w:sz w:val="24"/>
        </w:rPr>
        <w:t>必要时，CQM与获证客户沟通，核实证据；</w:t>
      </w:r>
    </w:p>
    <w:p>
      <w:pPr>
        <w:numPr>
          <w:ilvl w:val="0"/>
          <w:numId w:val="29"/>
        </w:numPr>
        <w:spacing w:line="360" w:lineRule="auto"/>
        <w:ind w:left="709" w:hanging="349"/>
        <w:rPr>
          <w:rFonts w:ascii="宋体" w:hAnsi="宋体" w:cs="宋体"/>
          <w:color w:val="000000"/>
          <w:sz w:val="24"/>
        </w:rPr>
      </w:pPr>
      <w:r>
        <w:rPr>
          <w:rFonts w:hint="eastAsia" w:ascii="宋体" w:hAnsi="宋体" w:cs="宋体"/>
          <w:sz w:val="24"/>
        </w:rPr>
        <w:t>经CQM审定，认为获证客户在认证范围内全部或部分不再持续满足认证要求，但仍然有可能在短期内采取纠正措施的，同意批准暂停全部或部分认证范围的认证资格，并确定暂停期限，向获证客户颁发</w:t>
      </w:r>
      <w:r>
        <w:rPr>
          <w:rFonts w:ascii="宋体" w:hAnsi="宋体"/>
          <w:bCs/>
          <w:sz w:val="24"/>
        </w:rPr>
        <w:t>《</w:t>
      </w:r>
      <w:r>
        <w:rPr>
          <w:rFonts w:hint="eastAsia" w:ascii="宋体" w:hAnsi="宋体"/>
          <w:bCs/>
          <w:sz w:val="24"/>
        </w:rPr>
        <w:t>认证处置决</w:t>
      </w:r>
      <w:r>
        <w:rPr>
          <w:rFonts w:hint="eastAsia" w:ascii="宋体" w:hAnsi="宋体"/>
          <w:bCs/>
          <w:color w:val="000000"/>
          <w:sz w:val="24"/>
        </w:rPr>
        <w:t>定通知书</w:t>
      </w:r>
      <w:r>
        <w:rPr>
          <w:rFonts w:ascii="宋体" w:hAnsi="宋体"/>
          <w:bCs/>
          <w:color w:val="000000"/>
          <w:sz w:val="24"/>
        </w:rPr>
        <w:t>》</w:t>
      </w:r>
      <w:r>
        <w:rPr>
          <w:rFonts w:hint="eastAsia" w:ascii="宋体" w:hAnsi="宋体" w:cs="宋体"/>
          <w:color w:val="000000"/>
          <w:sz w:val="24"/>
        </w:rPr>
        <w:t>并公告；</w:t>
      </w:r>
    </w:p>
    <w:p>
      <w:pPr>
        <w:numPr>
          <w:ilvl w:val="0"/>
          <w:numId w:val="29"/>
        </w:numPr>
        <w:spacing w:line="360" w:lineRule="auto"/>
        <w:ind w:left="709" w:hanging="349"/>
        <w:rPr>
          <w:rFonts w:ascii="宋体" w:hAnsi="宋体" w:cs="宋体"/>
          <w:color w:val="000000"/>
          <w:sz w:val="24"/>
        </w:rPr>
      </w:pPr>
      <w:r>
        <w:rPr>
          <w:rFonts w:hint="eastAsia" w:ascii="宋体" w:hAnsi="宋体" w:cs="宋体"/>
          <w:color w:val="000000"/>
          <w:sz w:val="24"/>
        </w:rPr>
        <w:t>获证客户按照《管理体系认证证书和认证标志、认可标识使用规则</w:t>
      </w:r>
      <w:r>
        <w:rPr>
          <w:rFonts w:ascii="宋体" w:hAnsi="宋体" w:cs="宋体"/>
          <w:color w:val="000000"/>
          <w:sz w:val="24"/>
        </w:rPr>
        <w:t>》</w:t>
      </w:r>
      <w:r>
        <w:rPr>
          <w:rFonts w:hint="eastAsia" w:ascii="宋体" w:hAnsi="宋体" w:cs="宋体"/>
          <w:color w:val="000000"/>
          <w:sz w:val="24"/>
        </w:rPr>
        <w:t>停止使用认证证书和认证标志,</w:t>
      </w:r>
      <w:r>
        <w:rPr>
          <w:rFonts w:hint="eastAsia" w:ascii="宋体" w:hAnsi="宋体"/>
          <w:bCs/>
          <w:color w:val="000000"/>
          <w:sz w:val="24"/>
        </w:rPr>
        <w:t xml:space="preserve"> 在暂停期间，客户的管理体系认证暂时无效</w:t>
      </w:r>
      <w:r>
        <w:rPr>
          <w:rFonts w:hint="eastAsia" w:ascii="宋体" w:hAnsi="宋体" w:cs="宋体"/>
          <w:color w:val="000000"/>
          <w:sz w:val="24"/>
        </w:rPr>
        <w:t>。</w:t>
      </w:r>
    </w:p>
    <w:p>
      <w:pPr>
        <w:spacing w:line="360" w:lineRule="auto"/>
        <w:rPr>
          <w:rFonts w:ascii="宋体" w:hAnsi="宋体"/>
          <w:b/>
          <w:sz w:val="24"/>
        </w:rPr>
      </w:pPr>
      <w:r>
        <w:rPr>
          <w:rFonts w:hint="eastAsia" w:ascii="宋体" w:hAnsi="宋体"/>
          <w:b/>
          <w:sz w:val="24"/>
        </w:rPr>
        <w:t>6.8恢复认证资格的条件和程序</w:t>
      </w:r>
    </w:p>
    <w:p>
      <w:pPr>
        <w:spacing w:line="360" w:lineRule="auto"/>
        <w:rPr>
          <w:bCs/>
        </w:rPr>
      </w:pPr>
      <w:r>
        <w:rPr>
          <w:rFonts w:hint="eastAsia" w:ascii="宋体" w:hAnsi="宋体"/>
          <w:bCs/>
          <w:sz w:val="24"/>
        </w:rPr>
        <w:t>6.8.1 恢复认证资格的条件</w:t>
      </w:r>
    </w:p>
    <w:p>
      <w:pPr>
        <w:spacing w:line="360" w:lineRule="auto"/>
        <w:ind w:firstLine="540" w:firstLineChars="225"/>
        <w:rPr>
          <w:rFonts w:ascii="宋体" w:hAnsi="宋体"/>
          <w:bCs/>
          <w:sz w:val="24"/>
        </w:rPr>
      </w:pPr>
      <w:r>
        <w:rPr>
          <w:rFonts w:hint="eastAsia" w:ascii="宋体" w:hAnsi="宋体"/>
          <w:bCs/>
          <w:sz w:val="24"/>
        </w:rPr>
        <w:t>获证客户已针对暂停认证资格的原因采取了有效的纠正措施，产生原因已经消除，认证资格的恢复符合相关的认证要求，</w:t>
      </w:r>
      <w:r>
        <w:rPr>
          <w:rFonts w:hint="eastAsia" w:ascii="宋体" w:hAnsi="宋体"/>
          <w:bCs/>
          <w:color w:val="000000"/>
          <w:sz w:val="24"/>
        </w:rPr>
        <w:t>同时已证实在暂停期内没有使用、引用认证资格（如广告宣传）和使用认证标志。</w:t>
      </w:r>
    </w:p>
    <w:p>
      <w:pPr>
        <w:tabs>
          <w:tab w:val="left" w:pos="900"/>
        </w:tabs>
        <w:spacing w:line="360" w:lineRule="auto"/>
        <w:rPr>
          <w:rFonts w:ascii="宋体" w:hAnsi="宋体"/>
          <w:sz w:val="24"/>
        </w:rPr>
      </w:pPr>
      <w:r>
        <w:rPr>
          <w:rFonts w:hint="eastAsia" w:ascii="宋体" w:hAnsi="宋体"/>
          <w:sz w:val="24"/>
        </w:rPr>
        <w:t>6.8.2 恢复认证资格的程序</w:t>
      </w:r>
    </w:p>
    <w:p>
      <w:pPr>
        <w:numPr>
          <w:ilvl w:val="0"/>
          <w:numId w:val="30"/>
        </w:numPr>
        <w:tabs>
          <w:tab w:val="left" w:pos="720"/>
          <w:tab w:val="clear" w:pos="1082"/>
        </w:tabs>
        <w:spacing w:line="360" w:lineRule="auto"/>
        <w:ind w:left="720"/>
        <w:rPr>
          <w:rFonts w:ascii="宋体" w:hAnsi="宋体"/>
          <w:bCs/>
          <w:sz w:val="24"/>
        </w:rPr>
      </w:pPr>
      <w:r>
        <w:rPr>
          <w:rFonts w:hint="eastAsia" w:ascii="宋体" w:hAnsi="宋体"/>
          <w:bCs/>
          <w:sz w:val="24"/>
        </w:rPr>
        <w:t>在确定的认证资格暂停限期结束前，根据暂停原因，获证客户在规定期限内向CQM提出恢复认证资格的《恢复使用认证证书和认证标志的申请书》；</w:t>
      </w:r>
    </w:p>
    <w:p>
      <w:pPr>
        <w:numPr>
          <w:ilvl w:val="0"/>
          <w:numId w:val="30"/>
        </w:numPr>
        <w:tabs>
          <w:tab w:val="left" w:pos="720"/>
          <w:tab w:val="clear" w:pos="1082"/>
        </w:tabs>
        <w:spacing w:line="360" w:lineRule="auto"/>
        <w:ind w:left="720"/>
        <w:rPr>
          <w:rFonts w:ascii="宋体" w:hAnsi="宋体"/>
          <w:bCs/>
          <w:sz w:val="24"/>
        </w:rPr>
      </w:pPr>
      <w:r>
        <w:rPr>
          <w:rFonts w:hint="eastAsia" w:ascii="宋体" w:hAnsi="宋体"/>
          <w:bCs/>
          <w:sz w:val="24"/>
        </w:rPr>
        <w:t>需要时，获证客户应提交相关纠正措施和有效性验证材料；</w:t>
      </w:r>
    </w:p>
    <w:p>
      <w:pPr>
        <w:numPr>
          <w:ilvl w:val="0"/>
          <w:numId w:val="30"/>
        </w:numPr>
        <w:tabs>
          <w:tab w:val="left" w:pos="720"/>
          <w:tab w:val="clear" w:pos="1082"/>
        </w:tabs>
        <w:spacing w:line="360" w:lineRule="auto"/>
        <w:ind w:left="720"/>
        <w:rPr>
          <w:rFonts w:ascii="宋体" w:hAnsi="宋体"/>
          <w:bCs/>
          <w:sz w:val="24"/>
        </w:rPr>
      </w:pPr>
      <w:r>
        <w:rPr>
          <w:rFonts w:hint="eastAsia" w:ascii="宋体" w:hAnsi="宋体"/>
          <w:bCs/>
          <w:sz w:val="24"/>
        </w:rPr>
        <w:t>经CQM审定，确认获证客户在暂停认证资格的认证范围内已恢复符合相关的认证要求，作出同意恢复认证资格的结论，颁发</w:t>
      </w:r>
      <w:r>
        <w:rPr>
          <w:rFonts w:hint="eastAsia" w:ascii="宋体" w:hAnsi="宋体"/>
          <w:sz w:val="24"/>
        </w:rPr>
        <w:t>《恢复使用认证证书和标志的通知》并公告。</w:t>
      </w:r>
    </w:p>
    <w:bookmarkEnd w:id="72"/>
    <w:bookmarkEnd w:id="73"/>
    <w:bookmarkEnd w:id="74"/>
    <w:bookmarkEnd w:id="75"/>
    <w:bookmarkEnd w:id="76"/>
    <w:bookmarkEnd w:id="77"/>
    <w:bookmarkEnd w:id="78"/>
    <w:p>
      <w:pPr>
        <w:spacing w:line="360" w:lineRule="auto"/>
        <w:rPr>
          <w:rFonts w:ascii="宋体" w:hAnsi="宋体"/>
          <w:b/>
          <w:sz w:val="24"/>
        </w:rPr>
      </w:pPr>
      <w:r>
        <w:rPr>
          <w:rFonts w:hint="eastAsia" w:ascii="宋体" w:hAnsi="宋体"/>
          <w:b/>
          <w:sz w:val="24"/>
        </w:rPr>
        <w:t>6.9撤销认证资格的条件和程序</w:t>
      </w:r>
    </w:p>
    <w:p>
      <w:pPr>
        <w:spacing w:line="360" w:lineRule="auto"/>
        <w:rPr>
          <w:rFonts w:ascii="宋体" w:hAnsi="宋体"/>
          <w:bCs/>
          <w:sz w:val="24"/>
        </w:rPr>
      </w:pPr>
      <w:r>
        <w:rPr>
          <w:rFonts w:hint="eastAsia" w:ascii="宋体" w:hAnsi="宋体"/>
          <w:bCs/>
          <w:sz w:val="24"/>
        </w:rPr>
        <w:t>6.9.1 撤销认证资格的条件</w:t>
      </w:r>
    </w:p>
    <w:p>
      <w:pPr>
        <w:spacing w:line="360" w:lineRule="auto"/>
        <w:ind w:firstLine="480"/>
        <w:rPr>
          <w:rFonts w:ascii="宋体" w:hAnsi="宋体"/>
          <w:color w:val="000000"/>
          <w:sz w:val="24"/>
        </w:rPr>
      </w:pPr>
      <w:r>
        <w:rPr>
          <w:rFonts w:hint="eastAsia" w:ascii="宋体" w:hAnsi="宋体"/>
          <w:iCs/>
          <w:sz w:val="24"/>
        </w:rPr>
        <w:t>符合下列条件之一的获证客户，CQM将撤销其认证证书</w:t>
      </w:r>
      <w:r>
        <w:rPr>
          <w:rFonts w:hint="eastAsia" w:ascii="宋体" w:hAnsi="宋体"/>
          <w:color w:val="000000"/>
          <w:sz w:val="24"/>
        </w:rPr>
        <w:t>：</w:t>
      </w:r>
    </w:p>
    <w:p>
      <w:pPr>
        <w:spacing w:line="360" w:lineRule="auto"/>
        <w:rPr>
          <w:rFonts w:ascii="宋体" w:hAnsi="宋体"/>
          <w:bCs/>
          <w:sz w:val="24"/>
        </w:rPr>
      </w:pPr>
      <w:r>
        <w:rPr>
          <w:rFonts w:hint="eastAsia" w:ascii="宋体" w:hAnsi="宋体"/>
          <w:color w:val="000000"/>
          <w:sz w:val="24"/>
        </w:rPr>
        <w:t>——</w:t>
      </w:r>
      <w:r>
        <w:rPr>
          <w:rFonts w:hint="eastAsia" w:ascii="宋体" w:hAnsi="宋体"/>
          <w:bCs/>
          <w:sz w:val="24"/>
        </w:rPr>
        <w:t>获证客户审核未通过。</w:t>
      </w:r>
    </w:p>
    <w:p>
      <w:pPr>
        <w:spacing w:line="360" w:lineRule="auto"/>
        <w:rPr>
          <w:rFonts w:ascii="宋体" w:hAnsi="宋体"/>
          <w:bCs/>
          <w:sz w:val="24"/>
        </w:rPr>
      </w:pPr>
      <w:r>
        <w:rPr>
          <w:rFonts w:hint="eastAsia" w:ascii="宋体" w:hAnsi="宋体"/>
          <w:bCs/>
          <w:sz w:val="24"/>
        </w:rPr>
        <w:t>——获证客户被注销或撤销法律地位证明文件。</w:t>
      </w:r>
    </w:p>
    <w:p>
      <w:pPr>
        <w:numPr>
          <w:ilvl w:val="0"/>
          <w:numId w:val="31"/>
        </w:numPr>
        <w:tabs>
          <w:tab w:val="left" w:pos="720"/>
          <w:tab w:val="clear" w:pos="1082"/>
        </w:tabs>
        <w:spacing w:line="360" w:lineRule="auto"/>
        <w:ind w:left="720"/>
        <w:rPr>
          <w:rFonts w:ascii="宋体" w:hAnsi="宋体"/>
          <w:bCs/>
          <w:sz w:val="24"/>
        </w:rPr>
      </w:pPr>
      <w:r>
        <w:rPr>
          <w:rFonts w:hint="eastAsia" w:ascii="宋体" w:hAnsi="宋体"/>
          <w:bCs/>
          <w:sz w:val="24"/>
        </w:rPr>
        <w:t>获证客户的法律地位、资质不再符合国家的最新要求；</w:t>
      </w:r>
    </w:p>
    <w:p>
      <w:pPr>
        <w:spacing w:line="360" w:lineRule="auto"/>
        <w:rPr>
          <w:rFonts w:ascii="宋体" w:hAnsi="宋体"/>
          <w:bCs/>
          <w:sz w:val="24"/>
        </w:rPr>
      </w:pPr>
      <w:r>
        <w:rPr>
          <w:rFonts w:hint="eastAsia" w:ascii="宋体" w:hAnsi="宋体"/>
          <w:bCs/>
          <w:sz w:val="24"/>
        </w:rPr>
        <w:t>——获证客户拒绝配合认证监管部门实施的监督检查，或者对有关事项的询问和调查提供了虚假材料或信息。</w:t>
      </w:r>
    </w:p>
    <w:p>
      <w:pPr>
        <w:numPr>
          <w:ilvl w:val="0"/>
          <w:numId w:val="32"/>
        </w:numPr>
        <w:tabs>
          <w:tab w:val="left" w:pos="720"/>
          <w:tab w:val="clear" w:pos="1082"/>
        </w:tabs>
        <w:spacing w:line="360" w:lineRule="auto"/>
        <w:ind w:left="720"/>
        <w:rPr>
          <w:rFonts w:ascii="宋体" w:hAnsi="宋体"/>
          <w:bCs/>
          <w:sz w:val="24"/>
        </w:rPr>
      </w:pPr>
      <w:r>
        <w:rPr>
          <w:rFonts w:hint="eastAsia" w:ascii="宋体" w:hAnsi="宋体"/>
          <w:bCs/>
          <w:sz w:val="24"/>
        </w:rPr>
        <w:t>被国家行政主管部门列入信用严重失信企业名单。</w:t>
      </w:r>
    </w:p>
    <w:p>
      <w:pPr>
        <w:spacing w:line="360" w:lineRule="auto"/>
        <w:rPr>
          <w:rFonts w:ascii="宋体" w:hAnsi="宋体"/>
          <w:bCs/>
          <w:sz w:val="24"/>
        </w:rPr>
      </w:pPr>
      <w:r>
        <w:rPr>
          <w:rFonts w:hint="eastAsia" w:ascii="宋体" w:hAnsi="宋体"/>
          <w:bCs/>
          <w:sz w:val="24"/>
        </w:rPr>
        <w:t>——被相关政府主管部门认定存在严重违法失信行为的。</w:t>
      </w:r>
    </w:p>
    <w:p>
      <w:pPr>
        <w:spacing w:line="360" w:lineRule="auto"/>
        <w:rPr>
          <w:rFonts w:ascii="宋体" w:hAnsi="宋体"/>
          <w:bCs/>
          <w:sz w:val="24"/>
        </w:rPr>
      </w:pPr>
      <w:r>
        <w:rPr>
          <w:rFonts w:hint="eastAsia" w:ascii="宋体" w:hAnsi="宋体"/>
          <w:bCs/>
          <w:sz w:val="24"/>
        </w:rPr>
        <w:t>——</w:t>
      </w:r>
      <w:r>
        <w:rPr>
          <w:rFonts w:hint="eastAsia" w:ascii="宋体" w:hAnsi="宋体"/>
          <w:bCs/>
          <w:iCs/>
          <w:sz w:val="24"/>
        </w:rPr>
        <w:t>获证客户出现重大事故，经执法监管部门确认是获证客户违规造成。</w:t>
      </w:r>
    </w:p>
    <w:p>
      <w:pPr>
        <w:numPr>
          <w:ilvl w:val="0"/>
          <w:numId w:val="33"/>
        </w:numPr>
        <w:tabs>
          <w:tab w:val="left" w:pos="720"/>
          <w:tab w:val="clear" w:pos="1082"/>
        </w:tabs>
        <w:spacing w:line="360" w:lineRule="auto"/>
        <w:ind w:left="720"/>
        <w:rPr>
          <w:rFonts w:ascii="宋体" w:hAnsi="宋体"/>
          <w:bCs/>
          <w:sz w:val="24"/>
        </w:rPr>
      </w:pPr>
      <w:r>
        <w:rPr>
          <w:rFonts w:hint="eastAsia" w:ascii="宋体" w:hAnsi="宋体"/>
          <w:bCs/>
          <w:sz w:val="24"/>
        </w:rPr>
        <w:t>获证客户于获证期间在认证范围内发生国家抽检不合格，并造成严重影响。</w:t>
      </w:r>
    </w:p>
    <w:p>
      <w:pPr>
        <w:numPr>
          <w:ilvl w:val="0"/>
          <w:numId w:val="33"/>
        </w:numPr>
        <w:tabs>
          <w:tab w:val="left" w:pos="720"/>
          <w:tab w:val="clear" w:pos="1082"/>
        </w:tabs>
        <w:spacing w:line="360" w:lineRule="auto"/>
        <w:ind w:left="720"/>
        <w:rPr>
          <w:rFonts w:ascii="宋体" w:hAnsi="宋体"/>
          <w:bCs/>
          <w:sz w:val="24"/>
        </w:rPr>
      </w:pPr>
      <w:r>
        <w:rPr>
          <w:rFonts w:hint="eastAsia" w:ascii="宋体" w:hAnsi="宋体"/>
          <w:bCs/>
          <w:sz w:val="24"/>
        </w:rPr>
        <w:t>拒绝接受国家行政主管部门监督抽查的。</w:t>
      </w:r>
    </w:p>
    <w:p>
      <w:pPr>
        <w:spacing w:line="360" w:lineRule="auto"/>
        <w:rPr>
          <w:rFonts w:ascii="宋体" w:hAnsi="宋体"/>
          <w:bCs/>
          <w:sz w:val="24"/>
        </w:rPr>
      </w:pPr>
      <w:r>
        <w:rPr>
          <w:rFonts w:hint="eastAsia" w:ascii="宋体" w:hAnsi="宋体"/>
          <w:bCs/>
          <w:sz w:val="24"/>
        </w:rPr>
        <w:t>——获证客户在证书有效期间有其他严重违反法律法规行为，受到相关执法监管部门处罚。</w:t>
      </w:r>
    </w:p>
    <w:p>
      <w:pPr>
        <w:pStyle w:val="8"/>
        <w:spacing w:line="360" w:lineRule="auto"/>
        <w:ind w:left="0" w:leftChars="0"/>
        <w:rPr>
          <w:rFonts w:ascii="宋体" w:hAnsi="宋体"/>
          <w:bCs/>
          <w:iCs/>
          <w:sz w:val="24"/>
        </w:rPr>
      </w:pPr>
      <w:r>
        <w:rPr>
          <w:rFonts w:hint="eastAsia" w:ascii="宋体" w:hAnsi="宋体"/>
          <w:bCs/>
          <w:iCs/>
          <w:sz w:val="24"/>
        </w:rPr>
        <w:t>——获证客户暂停认证证书的期限已满但导致暂停的问题未得到解决或纠正（包括持有的行政许可证明、资质证书、强制性认证证书等已经过期失效但申请未获批准）。</w:t>
      </w:r>
    </w:p>
    <w:p>
      <w:pPr>
        <w:pStyle w:val="8"/>
        <w:spacing w:line="360" w:lineRule="auto"/>
        <w:ind w:left="0" w:leftChars="0"/>
        <w:rPr>
          <w:rFonts w:ascii="宋体" w:hAnsi="宋体"/>
          <w:bCs/>
          <w:iCs/>
          <w:sz w:val="24"/>
        </w:rPr>
      </w:pPr>
      <w:r>
        <w:rPr>
          <w:rFonts w:hint="eastAsia" w:ascii="宋体" w:hAnsi="宋体"/>
          <w:bCs/>
          <w:iCs/>
          <w:sz w:val="24"/>
        </w:rPr>
        <w:t>——获证客户没有运行管理体系或者已不具备运行条件。</w:t>
      </w:r>
    </w:p>
    <w:p>
      <w:pPr>
        <w:numPr>
          <w:ilvl w:val="0"/>
          <w:numId w:val="34"/>
        </w:numPr>
        <w:tabs>
          <w:tab w:val="left" w:pos="720"/>
          <w:tab w:val="clear" w:pos="1082"/>
        </w:tabs>
        <w:spacing w:line="360" w:lineRule="auto"/>
        <w:ind w:left="720"/>
        <w:rPr>
          <w:rFonts w:ascii="宋体" w:hAnsi="宋体"/>
          <w:bCs/>
          <w:sz w:val="24"/>
        </w:rPr>
      </w:pPr>
      <w:r>
        <w:rPr>
          <w:rFonts w:hint="eastAsia" w:ascii="宋体" w:hAnsi="宋体"/>
          <w:bCs/>
          <w:sz w:val="24"/>
        </w:rPr>
        <w:t>获证客户在认证范围内的管理体系发生重大变更，未向CQM通报，并在短期内无法满足认证要求；</w:t>
      </w:r>
    </w:p>
    <w:p>
      <w:pPr>
        <w:numPr>
          <w:ilvl w:val="0"/>
          <w:numId w:val="34"/>
        </w:numPr>
        <w:tabs>
          <w:tab w:val="left" w:pos="720"/>
          <w:tab w:val="clear" w:pos="1082"/>
        </w:tabs>
        <w:spacing w:line="360" w:lineRule="auto"/>
        <w:ind w:left="720"/>
        <w:rPr>
          <w:rFonts w:ascii="宋体" w:hAnsi="宋体"/>
          <w:bCs/>
          <w:sz w:val="24"/>
        </w:rPr>
      </w:pPr>
      <w:r>
        <w:rPr>
          <w:rFonts w:hint="eastAsia" w:ascii="宋体" w:hAnsi="宋体"/>
          <w:bCs/>
          <w:sz w:val="24"/>
        </w:rPr>
        <w:t>获证客户体制变更后原管理体系已不再适宜；</w:t>
      </w:r>
    </w:p>
    <w:p>
      <w:pPr>
        <w:numPr>
          <w:ilvl w:val="0"/>
          <w:numId w:val="34"/>
        </w:numPr>
        <w:tabs>
          <w:tab w:val="left" w:pos="720"/>
          <w:tab w:val="clear" w:pos="1082"/>
        </w:tabs>
        <w:spacing w:line="360" w:lineRule="auto"/>
        <w:ind w:left="720"/>
        <w:rPr>
          <w:rFonts w:ascii="宋体" w:hAnsi="宋体"/>
          <w:bCs/>
          <w:sz w:val="24"/>
        </w:rPr>
      </w:pPr>
      <w:r>
        <w:rPr>
          <w:rFonts w:hint="eastAsia" w:ascii="宋体" w:hAnsi="宋体"/>
          <w:bCs/>
          <w:sz w:val="24"/>
        </w:rPr>
        <w:t>获证客户不再生产体系覆盖内产品；</w:t>
      </w:r>
    </w:p>
    <w:p>
      <w:pPr>
        <w:numPr>
          <w:ilvl w:val="0"/>
          <w:numId w:val="34"/>
        </w:numPr>
        <w:tabs>
          <w:tab w:val="left" w:pos="720"/>
          <w:tab w:val="clear" w:pos="1082"/>
        </w:tabs>
        <w:spacing w:line="360" w:lineRule="auto"/>
        <w:ind w:left="720"/>
        <w:rPr>
          <w:rFonts w:ascii="宋体" w:hAnsi="宋体"/>
          <w:bCs/>
          <w:sz w:val="24"/>
        </w:rPr>
      </w:pPr>
      <w:r>
        <w:rPr>
          <w:rFonts w:hint="eastAsia" w:ascii="宋体" w:hAnsi="宋体"/>
          <w:bCs/>
          <w:sz w:val="24"/>
        </w:rPr>
        <w:t>获证客户在认证范围内的组织单元、产品、服务及其过程和活动严重不能满足适用的最新法律法规和标准的要求，并在短期内无法采取措施或采取措施无效的；</w:t>
      </w:r>
    </w:p>
    <w:p>
      <w:pPr>
        <w:numPr>
          <w:ilvl w:val="0"/>
          <w:numId w:val="34"/>
        </w:numPr>
        <w:tabs>
          <w:tab w:val="left" w:pos="720"/>
          <w:tab w:val="clear" w:pos="1082"/>
        </w:tabs>
        <w:spacing w:line="360" w:lineRule="auto"/>
        <w:ind w:left="720"/>
        <w:rPr>
          <w:rFonts w:ascii="宋体" w:hAnsi="宋体"/>
          <w:bCs/>
          <w:sz w:val="24"/>
        </w:rPr>
      </w:pPr>
      <w:r>
        <w:rPr>
          <w:rFonts w:hint="eastAsia" w:ascii="宋体" w:hAnsi="宋体"/>
          <w:bCs/>
          <w:sz w:val="24"/>
        </w:rPr>
        <w:t>获证客户停业或关闭的。</w:t>
      </w:r>
    </w:p>
    <w:p>
      <w:pPr>
        <w:pStyle w:val="8"/>
        <w:spacing w:line="360" w:lineRule="auto"/>
        <w:ind w:left="0" w:leftChars="0"/>
        <w:rPr>
          <w:rFonts w:ascii="宋体" w:hAnsi="宋体"/>
          <w:bCs/>
          <w:iCs/>
          <w:sz w:val="24"/>
        </w:rPr>
      </w:pPr>
      <w:r>
        <w:rPr>
          <w:rFonts w:hint="eastAsia" w:ascii="宋体" w:hAnsi="宋体"/>
          <w:bCs/>
          <w:iCs/>
          <w:sz w:val="24"/>
        </w:rPr>
        <w:t>——获证客户不按相关规定正确引用和宣传获得的认证信息，造成严重影响或后果，或者认证机构已要求其纠正但超过2个月仍未纠正。</w:t>
      </w:r>
    </w:p>
    <w:p>
      <w:pPr>
        <w:numPr>
          <w:ilvl w:val="0"/>
          <w:numId w:val="35"/>
        </w:numPr>
        <w:tabs>
          <w:tab w:val="left" w:pos="720"/>
          <w:tab w:val="clear" w:pos="1082"/>
        </w:tabs>
        <w:spacing w:line="360" w:lineRule="auto"/>
        <w:ind w:left="720"/>
        <w:rPr>
          <w:rFonts w:ascii="宋体" w:hAnsi="宋体"/>
          <w:bCs/>
          <w:sz w:val="24"/>
        </w:rPr>
      </w:pPr>
      <w:r>
        <w:rPr>
          <w:rFonts w:hint="eastAsia" w:ascii="宋体" w:hAnsi="宋体"/>
          <w:bCs/>
          <w:sz w:val="24"/>
        </w:rPr>
        <w:t>获证客户在获证期间发生大量误用认证证书和认证标志，并未能及时有效地采取纠正和纠正措施，误导消费者，影响面大；</w:t>
      </w:r>
    </w:p>
    <w:p>
      <w:pPr>
        <w:numPr>
          <w:ilvl w:val="0"/>
          <w:numId w:val="35"/>
        </w:numPr>
        <w:tabs>
          <w:tab w:val="left" w:pos="720"/>
          <w:tab w:val="clear" w:pos="1082"/>
        </w:tabs>
        <w:spacing w:line="360" w:lineRule="auto"/>
        <w:ind w:left="720"/>
        <w:rPr>
          <w:rFonts w:ascii="宋体" w:hAnsi="宋体"/>
          <w:bCs/>
          <w:sz w:val="24"/>
        </w:rPr>
      </w:pPr>
      <w:r>
        <w:rPr>
          <w:rFonts w:hint="eastAsia" w:ascii="宋体" w:hAnsi="宋体"/>
          <w:bCs/>
          <w:sz w:val="24"/>
        </w:rPr>
        <w:t>获证客户转让认证证书和认证标志；</w:t>
      </w:r>
    </w:p>
    <w:p>
      <w:pPr>
        <w:pStyle w:val="8"/>
        <w:spacing w:line="360" w:lineRule="auto"/>
        <w:ind w:left="0" w:leftChars="0"/>
        <w:rPr>
          <w:rFonts w:ascii="宋体" w:hAnsi="宋体"/>
          <w:bCs/>
          <w:iCs/>
          <w:sz w:val="24"/>
        </w:rPr>
      </w:pPr>
      <w:r>
        <w:rPr>
          <w:rFonts w:hint="eastAsia" w:ascii="宋体" w:hAnsi="宋体"/>
          <w:bCs/>
          <w:iCs/>
          <w:sz w:val="24"/>
        </w:rPr>
        <w:t>——获证客户发生了社会责任等有关的重大事故，反映出获证客户的体系建立及运行存在重大缺陷。</w:t>
      </w:r>
    </w:p>
    <w:p>
      <w:pPr>
        <w:pStyle w:val="8"/>
        <w:spacing w:line="360" w:lineRule="auto"/>
        <w:ind w:left="0" w:leftChars="0"/>
        <w:rPr>
          <w:rFonts w:ascii="宋体" w:hAnsi="宋体"/>
          <w:bCs/>
          <w:iCs/>
          <w:sz w:val="24"/>
        </w:rPr>
      </w:pPr>
      <w:r>
        <w:rPr>
          <w:rFonts w:hint="eastAsia" w:ascii="宋体" w:hAnsi="宋体"/>
          <w:bCs/>
          <w:iCs/>
          <w:sz w:val="24"/>
        </w:rPr>
        <w:t>——获证客户因换发新证而撤销旧证书。</w:t>
      </w:r>
    </w:p>
    <w:p>
      <w:pPr>
        <w:pStyle w:val="8"/>
        <w:spacing w:line="360" w:lineRule="auto"/>
        <w:ind w:left="0" w:leftChars="0"/>
        <w:rPr>
          <w:rFonts w:ascii="宋体" w:hAnsi="宋体"/>
          <w:bCs/>
          <w:iCs/>
          <w:sz w:val="24"/>
        </w:rPr>
      </w:pPr>
      <w:r>
        <w:rPr>
          <w:rFonts w:hint="eastAsia" w:ascii="宋体" w:hAnsi="宋体"/>
          <w:bCs/>
          <w:iCs/>
          <w:sz w:val="24"/>
        </w:rPr>
        <w:t>——获证客户不承担、履行认证合同约定的责任和义务。</w:t>
      </w:r>
    </w:p>
    <w:p>
      <w:pPr>
        <w:pStyle w:val="8"/>
        <w:spacing w:line="360" w:lineRule="auto"/>
        <w:rPr>
          <w:rFonts w:ascii="宋体" w:hAnsi="宋体"/>
          <w:bCs/>
          <w:iCs/>
          <w:sz w:val="24"/>
        </w:rPr>
      </w:pPr>
      <w:r>
        <w:rPr>
          <w:rFonts w:hint="eastAsia" w:ascii="宋体" w:hAnsi="宋体"/>
          <w:bCs/>
          <w:iCs/>
          <w:sz w:val="24"/>
        </w:rPr>
        <w:t>a</w:t>
      </w:r>
      <w:r>
        <w:rPr>
          <w:rFonts w:ascii="宋体" w:hAnsi="宋体"/>
          <w:bCs/>
          <w:iCs/>
          <w:sz w:val="24"/>
        </w:rPr>
        <w:t>) 获证客户单方面宣布不履行与CQM签署认证合同中规定的责任和义务的；</w:t>
      </w:r>
    </w:p>
    <w:p>
      <w:pPr>
        <w:pStyle w:val="8"/>
        <w:spacing w:line="360" w:lineRule="auto"/>
        <w:rPr>
          <w:rFonts w:ascii="宋体" w:hAnsi="宋体"/>
          <w:bCs/>
          <w:iCs/>
          <w:sz w:val="24"/>
        </w:rPr>
      </w:pPr>
      <w:r>
        <w:rPr>
          <w:rFonts w:hint="eastAsia" w:ascii="宋体" w:hAnsi="宋体"/>
          <w:bCs/>
          <w:iCs/>
          <w:sz w:val="24"/>
        </w:rPr>
        <w:t>b</w:t>
      </w:r>
      <w:r>
        <w:rPr>
          <w:rFonts w:ascii="宋体" w:hAnsi="宋体"/>
          <w:bCs/>
          <w:iCs/>
          <w:sz w:val="24"/>
        </w:rPr>
        <w:t>) 获证客户长期拖缴认证费用，并催缴无效的；</w:t>
      </w:r>
    </w:p>
    <w:p>
      <w:pPr>
        <w:pStyle w:val="8"/>
        <w:spacing w:line="360" w:lineRule="auto"/>
        <w:rPr>
          <w:rFonts w:ascii="宋体" w:hAnsi="宋体"/>
          <w:bCs/>
          <w:iCs/>
          <w:sz w:val="24"/>
        </w:rPr>
      </w:pPr>
      <w:r>
        <w:rPr>
          <w:rFonts w:hint="eastAsia" w:ascii="宋体" w:hAnsi="宋体"/>
          <w:bCs/>
          <w:iCs/>
          <w:sz w:val="24"/>
        </w:rPr>
        <w:t>c</w:t>
      </w:r>
      <w:r>
        <w:rPr>
          <w:rFonts w:ascii="宋体" w:hAnsi="宋体"/>
          <w:bCs/>
          <w:iCs/>
          <w:sz w:val="24"/>
        </w:rPr>
        <w:t>) 经核实获证客户提供虚假信息，且影响了审核、认证决定的有效性的；</w:t>
      </w:r>
    </w:p>
    <w:p>
      <w:pPr>
        <w:pStyle w:val="8"/>
        <w:spacing w:line="360" w:lineRule="auto"/>
        <w:rPr>
          <w:rFonts w:ascii="宋体" w:hAnsi="宋体"/>
          <w:bCs/>
          <w:iCs/>
          <w:sz w:val="24"/>
        </w:rPr>
      </w:pPr>
      <w:r>
        <w:rPr>
          <w:rFonts w:hint="eastAsia" w:ascii="宋体" w:hAnsi="宋体"/>
          <w:bCs/>
          <w:iCs/>
          <w:sz w:val="24"/>
        </w:rPr>
        <w:t>d</w:t>
      </w:r>
      <w:r>
        <w:rPr>
          <w:rFonts w:ascii="宋体" w:hAnsi="宋体"/>
          <w:bCs/>
          <w:iCs/>
          <w:sz w:val="24"/>
        </w:rPr>
        <w:t>) 获证客户</w:t>
      </w:r>
      <w:r>
        <w:rPr>
          <w:rFonts w:hint="eastAsia" w:ascii="宋体" w:hAnsi="宋体"/>
          <w:bCs/>
          <w:iCs/>
          <w:sz w:val="24"/>
        </w:rPr>
        <w:t>更换认证机构的（未书面告知CQM的）；</w:t>
      </w:r>
    </w:p>
    <w:p>
      <w:pPr>
        <w:pStyle w:val="8"/>
        <w:spacing w:line="360" w:lineRule="auto"/>
        <w:rPr>
          <w:rFonts w:ascii="宋体" w:hAnsi="宋体"/>
          <w:bCs/>
          <w:iCs/>
          <w:sz w:val="24"/>
        </w:rPr>
      </w:pPr>
      <w:r>
        <w:rPr>
          <w:rFonts w:hint="eastAsia" w:ascii="宋体" w:hAnsi="宋体"/>
          <w:bCs/>
          <w:iCs/>
          <w:sz w:val="24"/>
        </w:rPr>
        <w:t>e</w:t>
      </w:r>
      <w:r>
        <w:rPr>
          <w:rFonts w:ascii="宋体" w:hAnsi="宋体"/>
          <w:bCs/>
          <w:iCs/>
          <w:sz w:val="24"/>
        </w:rPr>
        <w:t>) 获证客户对顾客或相关方的重大投诉不做处理的</w:t>
      </w:r>
      <w:r>
        <w:rPr>
          <w:rFonts w:hint="eastAsia" w:ascii="宋体" w:hAnsi="宋体"/>
          <w:bCs/>
          <w:iCs/>
          <w:sz w:val="24"/>
        </w:rPr>
        <w:t>。</w:t>
      </w:r>
    </w:p>
    <w:p>
      <w:pPr>
        <w:pStyle w:val="8"/>
        <w:spacing w:line="360" w:lineRule="auto"/>
        <w:ind w:left="0" w:leftChars="0"/>
        <w:rPr>
          <w:rFonts w:ascii="宋体" w:hAnsi="宋体"/>
          <w:bCs/>
          <w:iCs/>
          <w:sz w:val="24"/>
        </w:rPr>
      </w:pPr>
      <w:r>
        <w:rPr>
          <w:rFonts w:hint="eastAsia" w:ascii="宋体" w:hAnsi="宋体"/>
          <w:bCs/>
          <w:iCs/>
          <w:sz w:val="24"/>
        </w:rPr>
        <w:t>——获证客户主动放弃认证。</w:t>
      </w:r>
    </w:p>
    <w:p>
      <w:pPr>
        <w:pStyle w:val="8"/>
        <w:spacing w:line="360" w:lineRule="auto"/>
        <w:ind w:left="0" w:leftChars="0"/>
        <w:rPr>
          <w:rFonts w:ascii="宋体" w:hAnsi="宋体"/>
          <w:iCs/>
          <w:sz w:val="24"/>
        </w:rPr>
      </w:pPr>
      <w:r>
        <w:rPr>
          <w:rFonts w:hint="eastAsia" w:ascii="宋体" w:hAnsi="宋体"/>
          <w:bCs/>
          <w:iCs/>
          <w:sz w:val="24"/>
        </w:rPr>
        <w:t>——其他原因需要撤销证书。</w:t>
      </w:r>
    </w:p>
    <w:p>
      <w:pPr>
        <w:spacing w:line="360" w:lineRule="auto"/>
        <w:rPr>
          <w:rFonts w:ascii="宋体" w:hAnsi="宋体"/>
          <w:bCs/>
          <w:sz w:val="24"/>
        </w:rPr>
      </w:pPr>
      <w:r>
        <w:rPr>
          <w:rFonts w:hint="eastAsia" w:ascii="宋体" w:hAnsi="宋体"/>
          <w:bCs/>
          <w:sz w:val="24"/>
        </w:rPr>
        <w:t>6.9.2 撤销认证资格的程序</w:t>
      </w:r>
    </w:p>
    <w:p>
      <w:pPr>
        <w:spacing w:line="360" w:lineRule="auto"/>
        <w:ind w:firstLine="480" w:firstLineChars="200"/>
        <w:jc w:val="left"/>
        <w:rPr>
          <w:rFonts w:ascii="宋体" w:hAnsi="宋体"/>
          <w:sz w:val="24"/>
        </w:rPr>
      </w:pPr>
      <w:r>
        <w:rPr>
          <w:rFonts w:hint="eastAsia" w:ascii="宋体" w:hAnsi="宋体"/>
          <w:sz w:val="24"/>
        </w:rPr>
        <w:t>经</w:t>
      </w:r>
      <w:r>
        <w:rPr>
          <w:rFonts w:hint="eastAsia" w:ascii="宋体" w:hAnsi="宋体"/>
          <w:bCs/>
        </w:rPr>
        <w:t>CQM</w:t>
      </w:r>
      <w:r>
        <w:rPr>
          <w:rFonts w:hint="eastAsia" w:ascii="宋体" w:hAnsi="宋体"/>
          <w:sz w:val="24"/>
        </w:rPr>
        <w:t>核实与审定，确认获证客户在认证范围内的管理体系不再满足认证要求，作出撤销认证资格的结论，发放《</w:t>
      </w:r>
      <w:r>
        <w:rPr>
          <w:rFonts w:hint="eastAsia" w:ascii="宋体" w:hAnsi="宋体"/>
          <w:bCs/>
          <w:sz w:val="24"/>
        </w:rPr>
        <w:t>认证处置决定通知书》</w:t>
      </w:r>
      <w:r>
        <w:rPr>
          <w:rFonts w:hint="eastAsia" w:ascii="宋体" w:hAnsi="宋体"/>
          <w:sz w:val="24"/>
        </w:rPr>
        <w:t>并公告，收回认证证书，认证客户不得再使用认证证书和认证标志。</w:t>
      </w:r>
    </w:p>
    <w:p>
      <w:pPr>
        <w:spacing w:line="360" w:lineRule="auto"/>
        <w:ind w:firstLine="480" w:firstLineChars="200"/>
        <w:jc w:val="left"/>
        <w:rPr>
          <w:rFonts w:ascii="宋体" w:hAnsi="宋体"/>
          <w:sz w:val="24"/>
        </w:rPr>
      </w:pPr>
    </w:p>
    <w:p>
      <w:pPr>
        <w:pStyle w:val="2"/>
        <w:spacing w:line="360" w:lineRule="auto"/>
        <w:rPr>
          <w:rFonts w:ascii="宋体" w:hAnsi="宋体"/>
        </w:rPr>
      </w:pPr>
      <w:bookmarkStart w:id="82" w:name="_Toc85103636"/>
      <w:bookmarkStart w:id="83" w:name="_Toc13875"/>
      <w:bookmarkStart w:id="84" w:name="_Toc85105525"/>
      <w:bookmarkStart w:id="85" w:name="_Toc20167"/>
      <w:bookmarkStart w:id="86" w:name="_Toc185325639"/>
      <w:bookmarkStart w:id="87" w:name="_Toc85256261"/>
      <w:bookmarkStart w:id="88" w:name="_Toc27563"/>
      <w:r>
        <w:rPr>
          <w:rFonts w:hint="eastAsia" w:ascii="宋体" w:hAnsi="宋体"/>
        </w:rPr>
        <w:t>7 认证证书和认证标志</w:t>
      </w:r>
      <w:bookmarkEnd w:id="82"/>
      <w:bookmarkEnd w:id="83"/>
      <w:bookmarkEnd w:id="84"/>
      <w:bookmarkEnd w:id="85"/>
      <w:bookmarkEnd w:id="86"/>
      <w:bookmarkEnd w:id="87"/>
      <w:bookmarkEnd w:id="88"/>
    </w:p>
    <w:p>
      <w:pPr>
        <w:spacing w:line="360" w:lineRule="auto"/>
        <w:rPr>
          <w:rFonts w:ascii="宋体" w:hAnsi="宋体"/>
          <w:sz w:val="24"/>
        </w:rPr>
      </w:pPr>
      <w:r>
        <w:rPr>
          <w:rFonts w:hint="eastAsia" w:ascii="宋体" w:hAnsi="宋体"/>
          <w:b/>
          <w:sz w:val="24"/>
        </w:rPr>
        <w:t>7.1认证证书和认证标志</w:t>
      </w:r>
    </w:p>
    <w:p>
      <w:pPr>
        <w:spacing w:line="360" w:lineRule="auto"/>
        <w:rPr>
          <w:rFonts w:ascii="宋体" w:hAnsi="宋体"/>
          <w:sz w:val="24"/>
        </w:rPr>
      </w:pPr>
      <w:r>
        <w:rPr>
          <w:rFonts w:hint="eastAsia" w:ascii="宋体" w:hAnsi="宋体"/>
          <w:sz w:val="24"/>
        </w:rPr>
        <w:t>7.1.1 认证证书</w:t>
      </w:r>
    </w:p>
    <w:p>
      <w:pPr>
        <w:spacing w:line="360" w:lineRule="auto"/>
        <w:ind w:firstLine="480" w:firstLineChars="200"/>
        <w:rPr>
          <w:rFonts w:ascii="宋体" w:hAnsi="宋体"/>
          <w:sz w:val="24"/>
        </w:rPr>
      </w:pPr>
      <w:r>
        <w:rPr>
          <w:rFonts w:hint="eastAsia" w:ascii="宋体" w:hAnsi="宋体"/>
          <w:sz w:val="24"/>
        </w:rPr>
        <w:t>初次认证认证证书有效期最长为3年。再认证的认证证书有效期不超过最近一次有效认证证书截止期再加3年</w:t>
      </w:r>
      <w:r>
        <w:rPr>
          <w:rFonts w:hint="eastAsia" w:ascii="宋体" w:hAnsi="宋体"/>
          <w:bCs/>
          <w:color w:val="000000"/>
          <w:kern w:val="0"/>
          <w:sz w:val="24"/>
        </w:rPr>
        <w:t>，</w:t>
      </w:r>
      <w:r>
        <w:rPr>
          <w:rFonts w:hint="eastAsia" w:ascii="宋体" w:hAnsi="宋体"/>
          <w:bCs/>
          <w:color w:val="000000"/>
          <w:sz w:val="24"/>
        </w:rPr>
        <w:t>但再认证的认证证书有效期最长不超过42个月</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通常情况下，获证客户应在当前认证证书截止期前至少3个月接受再认证审核或已做好接受再认证审核的准备。否则，因获证客户接受再认证审核时间过晚或因不符合的关闭导致CQM的认证决定无法在原认证证书到期前作出时，再认证证书有效期将不足3年。</w:t>
      </w:r>
    </w:p>
    <w:p>
      <w:pPr>
        <w:spacing w:line="360" w:lineRule="auto"/>
        <w:rPr>
          <w:rFonts w:ascii="宋体" w:hAnsi="宋体"/>
          <w:sz w:val="24"/>
        </w:rPr>
      </w:pPr>
      <w:r>
        <w:rPr>
          <w:rFonts w:hint="eastAsia" w:ascii="宋体" w:hAnsi="宋体"/>
          <w:sz w:val="24"/>
        </w:rPr>
        <w:t>7.1.2 认证标志</w:t>
      </w:r>
    </w:p>
    <w:p>
      <w:pPr>
        <w:spacing w:line="360" w:lineRule="auto"/>
        <w:ind w:firstLine="480" w:firstLineChars="200"/>
        <w:rPr>
          <w:rFonts w:ascii="宋体" w:hAnsi="宋体"/>
          <w:szCs w:val="21"/>
        </w:rPr>
      </w:pPr>
      <w:r>
        <w:rPr>
          <w:rFonts w:hint="eastAsia" w:ascii="宋体" w:hAnsi="宋体"/>
          <w:sz w:val="24"/>
        </w:rPr>
        <w:t>具体见《管理体系认证证书、标志标识使用规则</w:t>
      </w:r>
      <w:r>
        <w:rPr>
          <w:rFonts w:ascii="宋体" w:hAnsi="宋体"/>
          <w:sz w:val="24"/>
        </w:rPr>
        <w:t>》</w:t>
      </w:r>
      <w:r>
        <w:rPr>
          <w:rFonts w:hint="eastAsia" w:ascii="宋体" w:hAnsi="宋体"/>
          <w:sz w:val="24"/>
        </w:rPr>
        <w:t>。</w:t>
      </w:r>
    </w:p>
    <w:p>
      <w:pPr>
        <w:spacing w:line="360" w:lineRule="auto"/>
        <w:rPr>
          <w:rFonts w:ascii="宋体" w:hAnsi="宋体"/>
          <w:sz w:val="24"/>
        </w:rPr>
      </w:pPr>
      <w:r>
        <w:rPr>
          <w:rFonts w:hint="eastAsia" w:ascii="宋体" w:hAnsi="宋体"/>
          <w:b/>
          <w:sz w:val="24"/>
        </w:rPr>
        <w:t>7.2认证证书和认证标志的使用</w:t>
      </w:r>
    </w:p>
    <w:p>
      <w:pPr>
        <w:spacing w:line="360" w:lineRule="auto"/>
        <w:ind w:firstLine="480" w:firstLineChars="200"/>
        <w:rPr>
          <w:rFonts w:ascii="宋体" w:hAnsi="宋体"/>
          <w:sz w:val="24"/>
        </w:rPr>
      </w:pPr>
      <w:r>
        <w:rPr>
          <w:rFonts w:hint="eastAsia" w:ascii="宋体" w:hAnsi="宋体"/>
          <w:sz w:val="24"/>
        </w:rPr>
        <w:t>获证客户应建立认证证书和认证标志的使用方案，获证后按照《管理体系认证证书、标志标识使用规则</w:t>
      </w:r>
      <w:r>
        <w:rPr>
          <w:rFonts w:ascii="宋体" w:hAnsi="宋体"/>
          <w:sz w:val="24"/>
        </w:rPr>
        <w:t>》</w:t>
      </w:r>
      <w:r>
        <w:rPr>
          <w:rFonts w:hint="eastAsia" w:ascii="宋体" w:hAnsi="宋体"/>
          <w:sz w:val="24"/>
        </w:rPr>
        <w:t>正确使用认证证书和认证标志。</w:t>
      </w:r>
    </w:p>
    <w:p>
      <w:pPr>
        <w:spacing w:line="360" w:lineRule="auto"/>
        <w:rPr>
          <w:rFonts w:ascii="宋体" w:hAnsi="宋体"/>
          <w:sz w:val="24"/>
        </w:rPr>
      </w:pPr>
      <w:r>
        <w:rPr>
          <w:rFonts w:hint="eastAsia" w:ascii="宋体" w:hAnsi="宋体"/>
          <w:b/>
          <w:sz w:val="24"/>
        </w:rPr>
        <w:t>7.3认证证书和认证标志的误用</w:t>
      </w:r>
    </w:p>
    <w:p>
      <w:pPr>
        <w:spacing w:line="360" w:lineRule="auto"/>
        <w:ind w:firstLine="480" w:firstLineChars="200"/>
        <w:rPr>
          <w:rFonts w:ascii="宋体" w:hAnsi="宋体"/>
          <w:bCs/>
          <w:sz w:val="24"/>
        </w:rPr>
      </w:pPr>
      <w:r>
        <w:rPr>
          <w:rFonts w:hint="eastAsia" w:ascii="宋体" w:hAnsi="宋体"/>
          <w:sz w:val="24"/>
        </w:rPr>
        <w:t>获证客户误用认证证书和认证标志，可能导致认证资格的暂停或撤销。</w:t>
      </w:r>
      <w:r>
        <w:rPr>
          <w:rFonts w:hint="eastAsia" w:ascii="宋体" w:hAnsi="宋体"/>
          <w:bCs/>
          <w:sz w:val="24"/>
        </w:rPr>
        <w:t>误用认证证书和标志的类型及对误用认证证书和标志的处理</w:t>
      </w:r>
      <w:r>
        <w:rPr>
          <w:rFonts w:hint="eastAsia" w:ascii="宋体" w:hAnsi="宋体"/>
          <w:sz w:val="24"/>
        </w:rPr>
        <w:t>见《社会责任管理体系认证证书、标志标识使用规则</w:t>
      </w:r>
      <w:r>
        <w:rPr>
          <w:rFonts w:ascii="宋体" w:hAnsi="宋体"/>
          <w:sz w:val="24"/>
        </w:rPr>
        <w:t>》</w:t>
      </w:r>
      <w:r>
        <w:rPr>
          <w:rFonts w:hint="eastAsia" w:ascii="宋体" w:hAnsi="宋体"/>
          <w:sz w:val="24"/>
        </w:rPr>
        <w:t>中规定。</w:t>
      </w:r>
    </w:p>
    <w:p>
      <w:pPr>
        <w:spacing w:line="360" w:lineRule="auto"/>
        <w:ind w:firstLine="480" w:firstLineChars="200"/>
        <w:rPr>
          <w:rFonts w:ascii="宋体" w:hAnsi="宋体"/>
          <w:sz w:val="24"/>
        </w:rPr>
      </w:pPr>
      <w:r>
        <w:rPr>
          <w:rFonts w:hint="eastAsia" w:ascii="宋体" w:hAnsi="宋体"/>
          <w:sz w:val="24"/>
        </w:rPr>
        <w:t>获证客户一旦发现误用认证证书或认证标志，应立即采取纠正措施，并报告方圆审核管理部门。</w:t>
      </w:r>
      <w:bookmarkStart w:id="89" w:name="_Toc33600430"/>
      <w:bookmarkStart w:id="90" w:name="_Toc33600386"/>
      <w:bookmarkStart w:id="91" w:name="_Toc33599723"/>
      <w:bookmarkStart w:id="92" w:name="_Toc33599596"/>
    </w:p>
    <w:p>
      <w:pPr>
        <w:spacing w:line="360" w:lineRule="auto"/>
        <w:ind w:firstLine="480" w:firstLineChars="200"/>
        <w:rPr>
          <w:rFonts w:ascii="宋体" w:hAnsi="宋体"/>
          <w:sz w:val="24"/>
        </w:rPr>
      </w:pPr>
    </w:p>
    <w:bookmarkEnd w:id="89"/>
    <w:bookmarkEnd w:id="90"/>
    <w:bookmarkEnd w:id="91"/>
    <w:bookmarkEnd w:id="92"/>
    <w:p>
      <w:pPr>
        <w:pStyle w:val="2"/>
        <w:spacing w:line="360" w:lineRule="auto"/>
        <w:rPr>
          <w:rFonts w:ascii="宋体" w:hAnsi="宋体"/>
        </w:rPr>
      </w:pPr>
      <w:bookmarkStart w:id="93" w:name="_Toc185325643"/>
      <w:bookmarkStart w:id="94" w:name="_Toc6696"/>
      <w:bookmarkStart w:id="95" w:name="_Toc3342"/>
      <w:bookmarkStart w:id="96" w:name="_Toc12368"/>
      <w:r>
        <w:rPr>
          <w:rFonts w:ascii="宋体" w:hAnsi="宋体"/>
        </w:rPr>
        <w:t>8</w:t>
      </w:r>
      <w:r>
        <w:rPr>
          <w:rFonts w:hint="eastAsia" w:ascii="宋体" w:hAnsi="宋体"/>
        </w:rPr>
        <w:t xml:space="preserve"> 获证客户的信息通报</w:t>
      </w:r>
      <w:bookmarkEnd w:id="93"/>
      <w:bookmarkEnd w:id="94"/>
      <w:bookmarkEnd w:id="95"/>
      <w:bookmarkEnd w:id="96"/>
    </w:p>
    <w:p>
      <w:pPr>
        <w:spacing w:line="360" w:lineRule="auto"/>
        <w:ind w:firstLine="480" w:firstLineChars="200"/>
        <w:rPr>
          <w:rFonts w:ascii="宋体" w:hAnsi="宋体"/>
          <w:sz w:val="24"/>
        </w:rPr>
      </w:pPr>
      <w:r>
        <w:rPr>
          <w:rFonts w:hint="eastAsia" w:ascii="宋体" w:hAnsi="宋体"/>
          <w:sz w:val="24"/>
        </w:rPr>
        <w:t>获证客户应建立向方圆通报最新信息的程序，并及时通报其重大投诉、国家监督检查结果、重大事故及获证客户变更的各种信息等。变更信息包括（但不限于）以下：</w:t>
      </w:r>
    </w:p>
    <w:p>
      <w:pPr>
        <w:numPr>
          <w:ilvl w:val="0"/>
          <w:numId w:val="36"/>
        </w:numPr>
        <w:spacing w:line="360" w:lineRule="auto"/>
        <w:ind w:left="840"/>
        <w:rPr>
          <w:rFonts w:ascii="宋体" w:hAnsi="宋体"/>
          <w:color w:val="000000"/>
          <w:sz w:val="24"/>
        </w:rPr>
      </w:pPr>
      <w:r>
        <w:rPr>
          <w:rFonts w:hint="eastAsia" w:ascii="宋体" w:hAnsi="宋体"/>
          <w:color w:val="000000"/>
          <w:sz w:val="24"/>
        </w:rPr>
        <w:t>组织名称，组织法人，隶属关系；</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联系人，联系方式(包括：电话、传真、手机)；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组织地址(包括：注册地址、认证地址)；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体系覆盖人数；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认证范围变化；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组织机构和职能分配；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证书表述的组织认证场所/生产场；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管理体系文件；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产品标准；       </w:t>
      </w:r>
    </w:p>
    <w:p>
      <w:pPr>
        <w:numPr>
          <w:ilvl w:val="0"/>
          <w:numId w:val="36"/>
        </w:numPr>
        <w:spacing w:line="360" w:lineRule="auto"/>
        <w:ind w:left="840"/>
        <w:rPr>
          <w:rFonts w:ascii="宋体" w:hAnsi="宋体"/>
          <w:color w:val="000000"/>
          <w:sz w:val="24"/>
        </w:rPr>
      </w:pPr>
      <w:r>
        <w:rPr>
          <w:rFonts w:hint="eastAsia" w:ascii="宋体" w:hAnsi="宋体"/>
          <w:color w:val="000000"/>
          <w:sz w:val="24"/>
        </w:rPr>
        <w:t>商标。</w:t>
      </w:r>
    </w:p>
    <w:p>
      <w:pPr>
        <w:spacing w:line="360" w:lineRule="auto"/>
        <w:ind w:firstLine="480" w:firstLineChars="200"/>
        <w:rPr>
          <w:rFonts w:ascii="宋体" w:hAnsi="宋体"/>
          <w:sz w:val="24"/>
        </w:rPr>
      </w:pPr>
      <w:bookmarkStart w:id="97" w:name="_Toc33600390"/>
      <w:bookmarkStart w:id="98" w:name="_Toc33599600"/>
      <w:bookmarkStart w:id="99" w:name="_Toc33599727"/>
      <w:bookmarkStart w:id="100" w:name="_Toc33600434"/>
      <w:r>
        <w:rPr>
          <w:rFonts w:hint="eastAsia" w:ascii="宋体" w:hAnsi="宋体"/>
          <w:sz w:val="24"/>
        </w:rPr>
        <w:t>当上述信息发生变更时，获证客户应填写《获证组织认证信息变更沟通单》，并及时反馈给CQM。变更信息反馈渠道及联系信息详见《获证组织认证信息变更沟通单》中的联系。</w:t>
      </w:r>
    </w:p>
    <w:p>
      <w:pPr>
        <w:spacing w:line="360" w:lineRule="auto"/>
        <w:ind w:firstLine="480" w:firstLineChars="200"/>
        <w:rPr>
          <w:rFonts w:ascii="宋体" w:hAnsi="宋体"/>
          <w:sz w:val="24"/>
        </w:rPr>
      </w:pPr>
    </w:p>
    <w:bookmarkEnd w:id="97"/>
    <w:bookmarkEnd w:id="98"/>
    <w:bookmarkEnd w:id="99"/>
    <w:bookmarkEnd w:id="100"/>
    <w:p>
      <w:pPr>
        <w:pStyle w:val="2"/>
        <w:spacing w:line="360" w:lineRule="auto"/>
        <w:rPr>
          <w:rFonts w:ascii="宋体" w:hAnsi="宋体"/>
        </w:rPr>
      </w:pPr>
      <w:bookmarkStart w:id="101" w:name="_Toc33600447"/>
      <w:bookmarkStart w:id="102" w:name="_Toc33599740"/>
      <w:bookmarkStart w:id="103" w:name="_Toc33600403"/>
      <w:bookmarkStart w:id="104" w:name="_Toc33599613"/>
      <w:bookmarkStart w:id="105" w:name="_Toc85105535"/>
      <w:bookmarkStart w:id="106" w:name="_Toc85256271"/>
      <w:bookmarkStart w:id="107" w:name="_Toc185325644"/>
      <w:bookmarkStart w:id="108" w:name="_Toc85103645"/>
      <w:bookmarkStart w:id="109" w:name="_Toc16999"/>
      <w:bookmarkStart w:id="110" w:name="_Toc13356"/>
      <w:bookmarkStart w:id="111" w:name="_Toc18977"/>
      <w:r>
        <w:rPr>
          <w:rFonts w:hint="eastAsia" w:ascii="宋体" w:hAnsi="宋体"/>
        </w:rPr>
        <w:t>9 认证要求</w:t>
      </w:r>
      <w:bookmarkEnd w:id="101"/>
      <w:bookmarkEnd w:id="102"/>
      <w:bookmarkEnd w:id="103"/>
      <w:bookmarkEnd w:id="104"/>
      <w:r>
        <w:rPr>
          <w:rFonts w:hint="eastAsia" w:ascii="宋体" w:hAnsi="宋体"/>
        </w:rPr>
        <w:t>变更</w:t>
      </w:r>
      <w:bookmarkEnd w:id="105"/>
      <w:bookmarkEnd w:id="106"/>
      <w:bookmarkEnd w:id="107"/>
      <w:bookmarkEnd w:id="108"/>
      <w:r>
        <w:rPr>
          <w:rFonts w:hint="eastAsia" w:ascii="宋体" w:hAnsi="宋体"/>
        </w:rPr>
        <w:t>的条件和程序</w:t>
      </w:r>
      <w:bookmarkEnd w:id="109"/>
      <w:bookmarkEnd w:id="110"/>
      <w:bookmarkEnd w:id="111"/>
    </w:p>
    <w:p>
      <w:pPr>
        <w:spacing w:line="360" w:lineRule="auto"/>
        <w:rPr>
          <w:rFonts w:ascii="宋体" w:hAnsi="宋体"/>
          <w:sz w:val="24"/>
        </w:rPr>
      </w:pPr>
      <w:r>
        <w:rPr>
          <w:rFonts w:hint="eastAsia" w:ascii="宋体" w:hAnsi="宋体"/>
          <w:b/>
          <w:sz w:val="24"/>
        </w:rPr>
        <w:t>9.1认证要求变更的条件</w:t>
      </w:r>
    </w:p>
    <w:p>
      <w:pPr>
        <w:numPr>
          <w:ilvl w:val="0"/>
          <w:numId w:val="37"/>
        </w:numPr>
        <w:spacing w:line="360" w:lineRule="auto"/>
        <w:rPr>
          <w:rFonts w:ascii="宋体" w:hAnsi="宋体"/>
          <w:sz w:val="24"/>
        </w:rPr>
      </w:pPr>
      <w:r>
        <w:rPr>
          <w:rFonts w:hint="eastAsia" w:ascii="宋体" w:hAnsi="宋体"/>
          <w:sz w:val="24"/>
        </w:rPr>
        <w:t>获证客户保持认证资格有效；</w:t>
      </w:r>
    </w:p>
    <w:p>
      <w:pPr>
        <w:numPr>
          <w:ilvl w:val="0"/>
          <w:numId w:val="37"/>
        </w:numPr>
        <w:spacing w:line="360" w:lineRule="auto"/>
        <w:rPr>
          <w:rFonts w:ascii="宋体" w:hAnsi="宋体"/>
          <w:sz w:val="24"/>
        </w:rPr>
      </w:pPr>
      <w:r>
        <w:rPr>
          <w:rFonts w:hint="eastAsia" w:ascii="宋体" w:hAnsi="宋体"/>
          <w:sz w:val="24"/>
        </w:rPr>
        <w:t>认证要求变更应在规定的时间前完成；</w:t>
      </w:r>
    </w:p>
    <w:p>
      <w:pPr>
        <w:numPr>
          <w:ilvl w:val="0"/>
          <w:numId w:val="37"/>
        </w:numPr>
        <w:spacing w:line="360" w:lineRule="auto"/>
        <w:rPr>
          <w:rFonts w:ascii="宋体" w:hAnsi="宋体"/>
          <w:sz w:val="24"/>
        </w:rPr>
      </w:pPr>
      <w:r>
        <w:rPr>
          <w:rFonts w:hint="eastAsia" w:ascii="宋体" w:hAnsi="宋体"/>
          <w:sz w:val="24"/>
        </w:rPr>
        <w:t>申请认证要求变更的获证客户应提交认证要求变更需求申请，并提交按新的认证要求进行体系调整的证据；</w:t>
      </w:r>
    </w:p>
    <w:p>
      <w:pPr>
        <w:numPr>
          <w:ilvl w:val="0"/>
          <w:numId w:val="37"/>
        </w:numPr>
        <w:spacing w:line="360" w:lineRule="auto"/>
        <w:rPr>
          <w:rFonts w:ascii="宋体" w:hAnsi="宋体"/>
          <w:sz w:val="24"/>
        </w:rPr>
      </w:pPr>
      <w:r>
        <w:rPr>
          <w:rFonts w:hint="eastAsia" w:ascii="宋体" w:hAnsi="宋体"/>
          <w:sz w:val="24"/>
        </w:rPr>
        <w:t>获证客户的管理体系已满足新的认证要求,且已正常运行。</w:t>
      </w:r>
    </w:p>
    <w:p>
      <w:pPr>
        <w:spacing w:line="360" w:lineRule="auto"/>
        <w:rPr>
          <w:rFonts w:hint="eastAsia" w:ascii="宋体" w:hAnsi="宋体"/>
          <w:b/>
          <w:sz w:val="24"/>
        </w:rPr>
      </w:pPr>
      <w:r>
        <w:rPr>
          <w:rFonts w:hint="eastAsia" w:ascii="宋体" w:hAnsi="宋体"/>
          <w:b/>
          <w:sz w:val="24"/>
        </w:rPr>
        <w:t>9.2认证要求变更的程序</w:t>
      </w:r>
    </w:p>
    <w:p>
      <w:pPr>
        <w:numPr>
          <w:ilvl w:val="0"/>
          <w:numId w:val="38"/>
        </w:numPr>
        <w:spacing w:line="360" w:lineRule="auto"/>
        <w:rPr>
          <w:rFonts w:ascii="宋体" w:hAnsi="宋体"/>
          <w:sz w:val="24"/>
        </w:rPr>
      </w:pPr>
      <w:r>
        <w:rPr>
          <w:rFonts w:hint="eastAsia" w:ascii="宋体" w:hAnsi="宋体"/>
          <w:sz w:val="24"/>
        </w:rPr>
        <w:t>在认证要求变更转换期结束前，获证客户向CQM提出认证要求变更申请；提出申请日期宜在转换期截止前至少90天；</w:t>
      </w:r>
    </w:p>
    <w:p>
      <w:pPr>
        <w:numPr>
          <w:ilvl w:val="0"/>
          <w:numId w:val="38"/>
        </w:numPr>
        <w:spacing w:line="360" w:lineRule="auto"/>
        <w:rPr>
          <w:rFonts w:ascii="宋体" w:hAnsi="宋体"/>
          <w:sz w:val="24"/>
        </w:rPr>
      </w:pPr>
      <w:r>
        <w:rPr>
          <w:rFonts w:hint="eastAsia" w:ascii="宋体" w:hAnsi="宋体"/>
          <w:sz w:val="24"/>
        </w:rPr>
        <w:t>CQM通过对获证客户实施年度监督审核或再认证审核，或应获证客户要求安排的认证要求变更的专项审核，评审调整后的管理体系对认证要求的符合性、适宜性和有效性；</w:t>
      </w:r>
    </w:p>
    <w:p>
      <w:pPr>
        <w:numPr>
          <w:ilvl w:val="0"/>
          <w:numId w:val="38"/>
        </w:numPr>
        <w:spacing w:line="360" w:lineRule="auto"/>
        <w:rPr>
          <w:rFonts w:ascii="宋体" w:hAnsi="宋体"/>
          <w:sz w:val="24"/>
        </w:rPr>
      </w:pPr>
      <w:r>
        <w:rPr>
          <w:rFonts w:hint="eastAsia" w:ascii="宋体" w:hAnsi="宋体"/>
          <w:sz w:val="24"/>
        </w:rPr>
        <w:t>经CQM审定，认为获证客户已满足批准认证资格的条件，同意批准认证范围，换发认证证书或附件，收回原证书，认证证书的注册号和有效期保持不变。</w:t>
      </w:r>
    </w:p>
    <w:p>
      <w:pPr>
        <w:spacing w:line="360" w:lineRule="auto"/>
        <w:ind w:left="719"/>
        <w:rPr>
          <w:rFonts w:ascii="宋体" w:hAnsi="宋体"/>
          <w:sz w:val="24"/>
        </w:rPr>
      </w:pPr>
    </w:p>
    <w:p>
      <w:pPr>
        <w:pStyle w:val="2"/>
        <w:spacing w:line="360" w:lineRule="auto"/>
        <w:rPr>
          <w:rFonts w:ascii="宋体" w:hAnsi="宋体"/>
        </w:rPr>
      </w:pPr>
      <w:bookmarkStart w:id="112" w:name="_Toc185325645"/>
      <w:bookmarkStart w:id="113" w:name="_Toc5933"/>
      <w:bookmarkStart w:id="114" w:name="_Toc8515"/>
      <w:bookmarkStart w:id="115" w:name="_Toc33599741"/>
      <w:bookmarkStart w:id="116" w:name="_Toc33600448"/>
      <w:bookmarkStart w:id="117" w:name="_Toc33599614"/>
      <w:bookmarkStart w:id="118" w:name="_Toc85256272"/>
      <w:bookmarkStart w:id="119" w:name="_Toc33600404"/>
      <w:bookmarkStart w:id="120" w:name="_Toc85105536"/>
      <w:bookmarkStart w:id="121" w:name="_Toc85103646"/>
      <w:bookmarkStart w:id="122" w:name="_Toc22432"/>
      <w:r>
        <w:rPr>
          <w:rFonts w:hint="eastAsia" w:ascii="宋体" w:hAnsi="宋体"/>
        </w:rPr>
        <w:t>10 保密</w:t>
      </w:r>
      <w:bookmarkEnd w:id="112"/>
      <w:bookmarkEnd w:id="113"/>
      <w:bookmarkEnd w:id="114"/>
      <w:bookmarkEnd w:id="115"/>
      <w:bookmarkEnd w:id="116"/>
      <w:bookmarkEnd w:id="117"/>
      <w:bookmarkEnd w:id="118"/>
      <w:bookmarkEnd w:id="119"/>
      <w:bookmarkEnd w:id="120"/>
      <w:bookmarkEnd w:id="121"/>
      <w:bookmarkEnd w:id="122"/>
    </w:p>
    <w:p>
      <w:pPr>
        <w:spacing w:line="360" w:lineRule="auto"/>
        <w:ind w:firstLine="480" w:firstLineChars="200"/>
        <w:rPr>
          <w:rFonts w:ascii="宋体" w:hAnsi="宋体"/>
          <w:sz w:val="24"/>
        </w:rPr>
      </w:pPr>
      <w:r>
        <w:rPr>
          <w:rFonts w:hint="eastAsia" w:ascii="宋体" w:hAnsi="宋体"/>
          <w:sz w:val="24"/>
        </w:rPr>
        <w:t>CQM承诺为认证客户保密（提前告知认证客户的需公开信息除外）。对认证客户的保密信息如需公开或向第三方提供时，将拟提供的信息提前通知认证客户（法律限制除外）。</w:t>
      </w:r>
    </w:p>
    <w:p>
      <w:pPr>
        <w:spacing w:line="360" w:lineRule="auto"/>
        <w:ind w:firstLine="480"/>
        <w:rPr>
          <w:rFonts w:ascii="宋体" w:hAnsi="宋体"/>
          <w:sz w:val="24"/>
        </w:rPr>
      </w:pPr>
      <w:r>
        <w:rPr>
          <w:rFonts w:hint="eastAsia" w:ascii="宋体" w:hAnsi="宋体"/>
          <w:sz w:val="24"/>
        </w:rPr>
        <w:t>如有证据表明，CQM因认证接触受审核方的商业、技术秘密，而泄露给第三者（法律规定除外），承担相应法律责任。</w:t>
      </w:r>
      <w:bookmarkStart w:id="123" w:name="_Toc33599742"/>
      <w:bookmarkStart w:id="124" w:name="_Toc33599615"/>
      <w:bookmarkStart w:id="125" w:name="_Toc33600405"/>
      <w:bookmarkStart w:id="126" w:name="_Toc33600449"/>
    </w:p>
    <w:p>
      <w:pPr>
        <w:spacing w:line="360" w:lineRule="auto"/>
        <w:ind w:firstLine="480"/>
        <w:rPr>
          <w:rFonts w:ascii="宋体" w:hAnsi="宋体"/>
          <w:sz w:val="24"/>
        </w:rPr>
      </w:pPr>
    </w:p>
    <w:bookmarkEnd w:id="123"/>
    <w:bookmarkEnd w:id="124"/>
    <w:bookmarkEnd w:id="125"/>
    <w:bookmarkEnd w:id="126"/>
    <w:p>
      <w:pPr>
        <w:pStyle w:val="2"/>
        <w:spacing w:line="360" w:lineRule="auto"/>
        <w:rPr>
          <w:rFonts w:ascii="宋体" w:hAnsi="宋体"/>
        </w:rPr>
      </w:pPr>
      <w:bookmarkStart w:id="127" w:name="_Toc4850"/>
      <w:bookmarkStart w:id="128" w:name="_Toc85256273"/>
      <w:bookmarkStart w:id="129" w:name="_Toc185325646"/>
      <w:bookmarkStart w:id="130" w:name="_Toc22948"/>
      <w:bookmarkStart w:id="131" w:name="_Toc10169"/>
      <w:r>
        <w:rPr>
          <w:rFonts w:hint="eastAsia" w:ascii="宋体" w:hAnsi="宋体"/>
        </w:rPr>
        <w:t>11 申诉/投诉、争议及处理</w:t>
      </w:r>
      <w:bookmarkEnd w:id="127"/>
      <w:bookmarkEnd w:id="128"/>
      <w:bookmarkEnd w:id="129"/>
      <w:bookmarkEnd w:id="130"/>
      <w:bookmarkEnd w:id="131"/>
    </w:p>
    <w:p>
      <w:pPr>
        <w:pStyle w:val="13"/>
        <w:spacing w:after="0" w:line="360" w:lineRule="auto"/>
        <w:ind w:left="0" w:leftChars="0" w:firstLine="420" w:firstLineChars="175"/>
        <w:rPr>
          <w:sz w:val="24"/>
          <w:szCs w:val="24"/>
        </w:rPr>
      </w:pPr>
      <w:r>
        <w:rPr>
          <w:rFonts w:hint="eastAsia"/>
          <w:sz w:val="24"/>
          <w:szCs w:val="24"/>
        </w:rPr>
        <w:t>对</w:t>
      </w:r>
      <w:r>
        <w:rPr>
          <w:rFonts w:hint="eastAsia" w:ascii="宋体" w:hAnsi="宋体"/>
          <w:sz w:val="24"/>
        </w:rPr>
        <w:t>CQM</w:t>
      </w:r>
      <w:r>
        <w:rPr>
          <w:rFonts w:hint="eastAsia"/>
          <w:sz w:val="24"/>
          <w:szCs w:val="24"/>
        </w:rPr>
        <w:t>或审核人员违反国家认证法律、法规、认可机构有关规定、缺乏公正性及对认证的评价结果等有异议时，可以向</w:t>
      </w:r>
      <w:r>
        <w:rPr>
          <w:rFonts w:hint="eastAsia" w:ascii="宋体" w:hAnsi="宋体"/>
          <w:sz w:val="24"/>
        </w:rPr>
        <w:t>CQM</w:t>
      </w:r>
      <w:r>
        <w:rPr>
          <w:rFonts w:hint="eastAsia"/>
          <w:sz w:val="24"/>
          <w:szCs w:val="24"/>
        </w:rPr>
        <w:t>提出申诉、投诉。</w:t>
      </w:r>
    </w:p>
    <w:p>
      <w:pPr>
        <w:spacing w:line="360" w:lineRule="auto"/>
        <w:ind w:firstLine="480" w:firstLineChars="200"/>
        <w:rPr>
          <w:rFonts w:ascii="宋体"/>
          <w:bCs/>
          <w:sz w:val="24"/>
        </w:rPr>
      </w:pPr>
      <w:r>
        <w:rPr>
          <w:rFonts w:hint="eastAsia" w:ascii="宋体"/>
          <w:bCs/>
          <w:sz w:val="24"/>
        </w:rPr>
        <w:t>CQM将在30日内答复处理情况。</w:t>
      </w:r>
    </w:p>
    <w:p>
      <w:pPr>
        <w:spacing w:line="360" w:lineRule="auto"/>
        <w:ind w:firstLine="480" w:firstLineChars="200"/>
        <w:rPr>
          <w:rFonts w:ascii="宋体"/>
          <w:bCs/>
          <w:sz w:val="24"/>
        </w:rPr>
      </w:pPr>
      <w:r>
        <w:rPr>
          <w:rFonts w:hint="eastAsia" w:ascii="宋体"/>
          <w:bCs/>
          <w:sz w:val="24"/>
        </w:rPr>
        <w:t>对CQM申诉/投诉和争议的处理有异议时可向中国合格评定国家认可委员会、中国国家认证认可监督管理委员会等有关部门进一步申诉/投诉。</w:t>
      </w:r>
    </w:p>
    <w:p>
      <w:pPr>
        <w:spacing w:line="360" w:lineRule="auto"/>
        <w:ind w:firstLine="480" w:firstLineChars="200"/>
        <w:rPr>
          <w:rFonts w:ascii="宋体"/>
          <w:bCs/>
          <w:sz w:val="24"/>
        </w:rPr>
      </w:pPr>
    </w:p>
    <w:p>
      <w:pPr>
        <w:pStyle w:val="2"/>
        <w:spacing w:line="360" w:lineRule="auto"/>
        <w:rPr>
          <w:rFonts w:ascii="宋体" w:hAnsi="宋体"/>
        </w:rPr>
      </w:pPr>
      <w:bookmarkStart w:id="132" w:name="_Toc85105541"/>
      <w:bookmarkStart w:id="133" w:name="_Toc85103651"/>
      <w:bookmarkStart w:id="134" w:name="_Toc185325647"/>
      <w:bookmarkStart w:id="135" w:name="_Toc85256274"/>
      <w:bookmarkStart w:id="136" w:name="_Toc18810"/>
      <w:bookmarkStart w:id="137" w:name="_Toc31888"/>
      <w:bookmarkStart w:id="138" w:name="_Toc29024"/>
      <w:r>
        <w:rPr>
          <w:rFonts w:hint="eastAsia" w:ascii="宋体" w:hAnsi="宋体"/>
        </w:rPr>
        <w:t>12 费用</w:t>
      </w:r>
      <w:bookmarkEnd w:id="132"/>
      <w:bookmarkEnd w:id="133"/>
      <w:bookmarkEnd w:id="134"/>
      <w:bookmarkEnd w:id="135"/>
      <w:bookmarkEnd w:id="136"/>
      <w:bookmarkEnd w:id="137"/>
      <w:bookmarkEnd w:id="138"/>
    </w:p>
    <w:p>
      <w:pPr>
        <w:spacing w:line="360" w:lineRule="auto"/>
        <w:ind w:firstLine="480"/>
        <w:rPr>
          <w:rFonts w:ascii="宋体" w:hAnsi="宋体"/>
          <w:sz w:val="24"/>
        </w:rPr>
      </w:pPr>
      <w:r>
        <w:rPr>
          <w:rFonts w:hint="eastAsia" w:ascii="宋体" w:hAnsi="宋体"/>
          <w:sz w:val="24"/>
        </w:rPr>
        <w:t>实施本方案的费用，按《社会责任管理体系认证收费管理规则》执行。</w:t>
      </w:r>
      <w:bookmarkStart w:id="139" w:name="_Toc33600452"/>
      <w:bookmarkStart w:id="140" w:name="_Toc33599618"/>
      <w:bookmarkStart w:id="141" w:name="_Toc33599745"/>
      <w:bookmarkStart w:id="142" w:name="_Toc33600408"/>
    </w:p>
    <w:p>
      <w:pPr>
        <w:spacing w:line="360" w:lineRule="auto"/>
        <w:ind w:firstLine="480"/>
        <w:rPr>
          <w:rFonts w:ascii="宋体" w:hAnsi="宋体"/>
          <w:sz w:val="24"/>
        </w:rPr>
      </w:pPr>
    </w:p>
    <w:p>
      <w:pPr>
        <w:pStyle w:val="2"/>
        <w:spacing w:line="360" w:lineRule="auto"/>
      </w:pPr>
      <w:bookmarkStart w:id="143" w:name="_Toc85256275"/>
      <w:bookmarkStart w:id="144" w:name="_Toc85105542"/>
      <w:bookmarkStart w:id="145" w:name="_Toc8140"/>
      <w:bookmarkStart w:id="146" w:name="_Toc185325648"/>
      <w:bookmarkStart w:id="147" w:name="_Toc85103652"/>
      <w:bookmarkStart w:id="148" w:name="_Toc3794"/>
      <w:bookmarkStart w:id="149" w:name="_Toc15241"/>
      <w:r>
        <w:rPr>
          <w:rFonts w:hint="eastAsia"/>
        </w:rPr>
        <w:t>13 公告</w:t>
      </w:r>
      <w:bookmarkEnd w:id="139"/>
      <w:bookmarkEnd w:id="140"/>
      <w:bookmarkEnd w:id="141"/>
      <w:bookmarkEnd w:id="142"/>
      <w:bookmarkEnd w:id="143"/>
      <w:bookmarkEnd w:id="144"/>
      <w:bookmarkEnd w:id="145"/>
      <w:bookmarkEnd w:id="146"/>
      <w:bookmarkEnd w:id="147"/>
      <w:bookmarkEnd w:id="148"/>
      <w:bookmarkEnd w:id="149"/>
    </w:p>
    <w:p>
      <w:pPr>
        <w:spacing w:line="360" w:lineRule="auto"/>
        <w:ind w:firstLine="480"/>
        <w:rPr>
          <w:rFonts w:ascii="宋体" w:hAnsi="宋体"/>
          <w:sz w:val="24"/>
        </w:rPr>
      </w:pPr>
      <w:r>
        <w:rPr>
          <w:rFonts w:hint="eastAsia" w:ascii="宋体" w:hAnsi="宋体"/>
          <w:sz w:val="24"/>
        </w:rPr>
        <w:t>对获得认证、暂停、恢复或撤销的认证客户，在CQM网站上公布。</w:t>
      </w:r>
      <w:bookmarkStart w:id="150" w:name="_Toc33599746"/>
      <w:bookmarkStart w:id="151" w:name="_Toc33599619"/>
      <w:bookmarkStart w:id="152" w:name="_Toc33600409"/>
      <w:bookmarkStart w:id="153" w:name="_Toc33600453"/>
    </w:p>
    <w:p>
      <w:pPr>
        <w:spacing w:line="360" w:lineRule="auto"/>
        <w:ind w:firstLine="480"/>
        <w:rPr>
          <w:rFonts w:ascii="宋体" w:hAnsi="宋体"/>
          <w:sz w:val="24"/>
        </w:rPr>
      </w:pPr>
    </w:p>
    <w:p>
      <w:pPr>
        <w:pStyle w:val="2"/>
        <w:spacing w:line="360" w:lineRule="auto"/>
      </w:pPr>
      <w:bookmarkStart w:id="154" w:name="_Toc85256276"/>
      <w:bookmarkStart w:id="155" w:name="_Toc2246"/>
      <w:bookmarkStart w:id="156" w:name="_Toc85105543"/>
      <w:bookmarkStart w:id="157" w:name="_Toc185325649"/>
      <w:bookmarkStart w:id="158" w:name="_Toc85103653"/>
      <w:bookmarkStart w:id="159" w:name="_Toc2410"/>
      <w:bookmarkStart w:id="160" w:name="_Toc10467"/>
      <w:r>
        <w:rPr>
          <w:rFonts w:hint="eastAsia"/>
        </w:rPr>
        <w:t>14 附则</w:t>
      </w:r>
      <w:bookmarkEnd w:id="150"/>
      <w:bookmarkEnd w:id="151"/>
      <w:bookmarkEnd w:id="152"/>
      <w:bookmarkEnd w:id="153"/>
      <w:bookmarkEnd w:id="154"/>
      <w:bookmarkEnd w:id="155"/>
      <w:bookmarkEnd w:id="156"/>
      <w:bookmarkEnd w:id="157"/>
      <w:bookmarkEnd w:id="158"/>
      <w:bookmarkEnd w:id="159"/>
      <w:bookmarkEnd w:id="160"/>
    </w:p>
    <w:p>
      <w:pPr>
        <w:spacing w:line="360" w:lineRule="auto"/>
        <w:ind w:firstLine="480"/>
        <w:rPr>
          <w:rFonts w:ascii="黑体" w:eastAsia="黑体"/>
          <w:sz w:val="36"/>
          <w:szCs w:val="36"/>
        </w:rPr>
      </w:pPr>
      <w:r>
        <w:rPr>
          <w:rFonts w:hint="eastAsia" w:ascii="宋体" w:hAnsi="宋体"/>
          <w:sz w:val="24"/>
        </w:rPr>
        <w:t>本方案由方圆标志认证集团有限公司负责解释。</w:t>
      </w:r>
    </w:p>
    <w:sectPr>
      <w:headerReference r:id="rId4" w:type="first"/>
      <w:headerReference r:id="rId3" w:type="default"/>
      <w:footerReference r:id="rId5" w:type="default"/>
      <w:pgSz w:w="11906" w:h="16838"/>
      <w:pgMar w:top="856" w:right="1797" w:bottom="1440" w:left="1797" w:header="284" w:footer="0"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仿宋简体">
    <w:altName w:val="Arial Unicode MS"/>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326" w:hRule="atLeast"/>
      </w:trPr>
      <w:tc>
        <w:tcPr>
          <w:tcW w:w="1050" w:type="dxa"/>
          <w:tcBorders>
            <w:top w:val="thinThickSmallGap" w:color="3366FF" w:sz="18" w:space="0"/>
          </w:tcBorders>
        </w:tcPr>
        <w:p>
          <w:pPr>
            <w:pStyle w:val="10"/>
            <w:ind w:left="-108"/>
            <w:jc w:val="both"/>
            <w:rPr>
              <w:sz w:val="13"/>
            </w:rPr>
          </w:pPr>
        </w:p>
        <w:p>
          <w:pPr>
            <w:pStyle w:val="10"/>
            <w:ind w:left="-108"/>
            <w:jc w:val="both"/>
          </w:pPr>
          <w:r>
            <w:rPr>
              <w:rFonts w:hint="eastAsia"/>
            </w:rPr>
            <w:t>通讯地址：</w:t>
          </w:r>
        </w:p>
        <w:p>
          <w:pPr>
            <w:pStyle w:val="10"/>
            <w:ind w:left="-108"/>
            <w:jc w:val="both"/>
          </w:pPr>
          <w:r>
            <w:rPr>
              <w:rFonts w:hint="eastAsia"/>
            </w:rPr>
            <w:t>电    话：</w:t>
          </w:r>
        </w:p>
        <w:p>
          <w:pPr>
            <w:pStyle w:val="10"/>
            <w:ind w:left="-108"/>
            <w:jc w:val="both"/>
          </w:pPr>
          <w:r>
            <w:rPr>
              <w:rFonts w:hint="eastAsia"/>
            </w:rPr>
            <w:t>传    真：</w:t>
          </w:r>
        </w:p>
        <w:p>
          <w:pPr>
            <w:pStyle w:val="10"/>
            <w:ind w:left="-108"/>
            <w:jc w:val="both"/>
          </w:pPr>
          <w:r>
            <w:rPr>
              <w:rFonts w:hint="eastAsia"/>
            </w:rPr>
            <w:t>网址：</w:t>
          </w:r>
        </w:p>
        <w:p>
          <w:pPr>
            <w:pStyle w:val="10"/>
            <w:ind w:left="-108"/>
            <w:jc w:val="both"/>
          </w:pPr>
          <w:r>
            <w:rPr>
              <w:rFonts w:hint="eastAsia"/>
              <w:spacing w:val="24"/>
              <w:sz w:val="21"/>
            </w:rPr>
            <w:t>E-mail</w:t>
          </w:r>
          <w:r>
            <w:rPr>
              <w:rFonts w:hint="eastAsia"/>
              <w:spacing w:val="20"/>
              <w:lang w:val="en-GB"/>
            </w:rPr>
            <w:t>：</w:t>
          </w:r>
        </w:p>
      </w:tc>
      <w:tc>
        <w:tcPr>
          <w:tcW w:w="4530" w:type="dxa"/>
          <w:tcBorders>
            <w:top w:val="thinThickSmallGap" w:color="3366FF" w:sz="18" w:space="0"/>
          </w:tcBorders>
        </w:tcPr>
        <w:p>
          <w:pPr>
            <w:pStyle w:val="10"/>
            <w:ind w:left="-108"/>
            <w:jc w:val="both"/>
            <w:rPr>
              <w:sz w:val="13"/>
            </w:rPr>
          </w:pPr>
        </w:p>
        <w:p>
          <w:pPr>
            <w:pStyle w:val="10"/>
            <w:ind w:left="-108"/>
            <w:jc w:val="both"/>
          </w:pPr>
          <w:r>
            <w:rPr>
              <w:rFonts w:hint="eastAsia"/>
            </w:rPr>
            <w:t>北京市海淀区增光路33号</w:t>
          </w:r>
          <w:r>
            <w:t>(</w:t>
          </w:r>
          <w:r>
            <w:rPr>
              <w:rFonts w:hint="eastAsia"/>
            </w:rPr>
            <w:t>100048</w:t>
          </w:r>
          <w:r>
            <w:t>)</w:t>
          </w:r>
        </w:p>
        <w:p>
          <w:pPr>
            <w:pStyle w:val="10"/>
            <w:ind w:left="-108"/>
            <w:jc w:val="both"/>
          </w:pPr>
          <w:r>
            <w:rPr>
              <w:rFonts w:hint="eastAsia"/>
            </w:rPr>
            <w:t>（010）88411888（总机）</w:t>
          </w:r>
        </w:p>
        <w:p>
          <w:pPr>
            <w:pStyle w:val="10"/>
            <w:ind w:left="-108"/>
            <w:jc w:val="both"/>
          </w:pPr>
          <w:r>
            <w:rPr>
              <w:rFonts w:hint="eastAsia"/>
            </w:rPr>
            <w:t>（010）88414325</w:t>
          </w:r>
        </w:p>
        <w:p>
          <w:pPr>
            <w:pStyle w:val="10"/>
            <w:jc w:val="both"/>
          </w:pPr>
          <w:r>
            <w:t>http://cqm.cn/</w:t>
          </w:r>
        </w:p>
        <w:p>
          <w:pPr>
            <w:pStyle w:val="10"/>
            <w:jc w:val="both"/>
          </w:pPr>
          <w:r>
            <w:t>cqm@cqm.com.cn</w:t>
          </w:r>
        </w:p>
      </w:tc>
      <w:tc>
        <w:tcPr>
          <w:tcW w:w="1620" w:type="dxa"/>
          <w:tcBorders>
            <w:top w:val="thinThickSmallGap" w:color="3366FF" w:sz="18" w:space="0"/>
          </w:tcBorders>
        </w:tcPr>
        <w:p>
          <w:pPr>
            <w:pStyle w:val="10"/>
            <w:jc w:val="both"/>
          </w:pPr>
        </w:p>
        <w:p>
          <w:pPr>
            <w:pStyle w:val="10"/>
            <w:jc w:val="both"/>
          </w:pPr>
          <w:r>
            <w:rPr>
              <w:rFonts w:hint="eastAsia"/>
            </w:rPr>
            <w:t xml:space="preserve">文件编号： </w:t>
          </w:r>
        </w:p>
        <w:p>
          <w:pPr>
            <w:pStyle w:val="10"/>
            <w:jc w:val="both"/>
          </w:pPr>
          <w:r>
            <w:rPr>
              <w:rFonts w:hint="eastAsia"/>
            </w:rPr>
            <w:t xml:space="preserve">发布日期： </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3366FF" w:sz="18" w:space="0"/>
          </w:tcBorders>
        </w:tcPr>
        <w:p>
          <w:pPr>
            <w:pStyle w:val="10"/>
            <w:jc w:val="both"/>
          </w:pPr>
        </w:p>
        <w:p>
          <w:pPr>
            <w:pStyle w:val="10"/>
            <w:jc w:val="both"/>
          </w:pPr>
          <w:r>
            <w:t>CQM/S-</w:t>
          </w:r>
          <w:r>
            <w:rPr>
              <w:rFonts w:hint="eastAsia"/>
            </w:rPr>
            <w:t>FN-23-022</w:t>
          </w:r>
        </w:p>
        <w:p>
          <w:pPr>
            <w:pStyle w:val="10"/>
            <w:jc w:val="both"/>
          </w:pPr>
          <w:r>
            <w:rPr>
              <w:rFonts w:hint="eastAsia"/>
            </w:rPr>
            <w:t>2021年0</w:t>
          </w:r>
          <w:r>
            <w:rPr>
              <w:rFonts w:hint="eastAsia"/>
              <w:lang w:val="en-US" w:eastAsia="zh-CN"/>
            </w:rPr>
            <w:t>6</w:t>
          </w:r>
          <w:r>
            <w:rPr>
              <w:rFonts w:hint="eastAsia"/>
            </w:rPr>
            <w:t>月2</w:t>
          </w:r>
          <w:r>
            <w:rPr>
              <w:rFonts w:hint="eastAsia"/>
              <w:lang w:val="en-US" w:eastAsia="zh-CN"/>
            </w:rPr>
            <w:t>4</w:t>
          </w:r>
          <w:r>
            <w:rPr>
              <w:rFonts w:hint="eastAsia"/>
            </w:rPr>
            <w:t>日</w:t>
          </w:r>
        </w:p>
        <w:p>
          <w:pPr>
            <w:pStyle w:val="10"/>
            <w:jc w:val="both"/>
          </w:pPr>
        </w:p>
        <w:p>
          <w:pPr>
            <w:pStyle w:val="10"/>
            <w:jc w:val="both"/>
          </w:pPr>
          <w:r>
            <w:rPr>
              <w:rFonts w:hint="eastAsia"/>
            </w:rPr>
            <w:t>2021年0</w:t>
          </w:r>
          <w:r>
            <w:rPr>
              <w:rFonts w:hint="eastAsia"/>
              <w:lang w:val="en-US" w:eastAsia="zh-CN"/>
            </w:rPr>
            <w:t>6</w:t>
          </w:r>
          <w:r>
            <w:rPr>
              <w:rFonts w:hint="eastAsia"/>
            </w:rPr>
            <w:t>月2</w:t>
          </w:r>
          <w:r>
            <w:rPr>
              <w:rFonts w:hint="eastAsia"/>
              <w:lang w:val="en-US" w:eastAsia="zh-CN"/>
            </w:rPr>
            <w:t>4</w:t>
          </w:r>
          <w:r>
            <w:rPr>
              <w:rFonts w:hint="eastAsia"/>
            </w:rPr>
            <w:t>日</w:t>
          </w:r>
        </w:p>
        <w:p>
          <w:pPr>
            <w:pStyle w:val="10"/>
            <w:jc w:val="both"/>
          </w:pPr>
          <w:r>
            <w:rPr>
              <w:rFonts w:hint="eastAsia"/>
            </w:rPr>
            <w:t xml:space="preserve">第 </w:t>
          </w:r>
          <w:r>
            <w:fldChar w:fldCharType="begin"/>
          </w:r>
          <w:r>
            <w:rPr>
              <w:rStyle w:val="18"/>
            </w:rPr>
            <w:instrText xml:space="preserve"> PAGE </w:instrText>
          </w:r>
          <w:r>
            <w:fldChar w:fldCharType="separate"/>
          </w:r>
          <w:r>
            <w:rPr>
              <w:rStyle w:val="18"/>
            </w:rPr>
            <w:t>18</w:t>
          </w:r>
          <w:r>
            <w:fldChar w:fldCharType="end"/>
          </w:r>
          <w:r>
            <w:rPr>
              <w:rFonts w:hint="eastAsia"/>
              <w:lang w:val="en-US" w:eastAsia="zh-CN"/>
            </w:rPr>
            <w:t xml:space="preserve"> </w:t>
          </w:r>
          <w:r>
            <w:rPr>
              <w:rStyle w:val="18"/>
              <w:rFonts w:hint="eastAsia"/>
            </w:rPr>
            <w:t>页  共20页</w:t>
          </w:r>
        </w:p>
      </w:tc>
    </w:tr>
  </w:tbl>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180" w:type="dxa"/>
          <w:vAlign w:val="center"/>
        </w:tcPr>
        <w:p>
          <w:pPr>
            <w:pStyle w:val="11"/>
            <w:pBdr>
              <w:bottom w:val="none" w:color="auto" w:sz="0" w:space="0"/>
            </w:pBdr>
            <w:ind w:firstLine="1" w:firstLineChars="1"/>
            <w:jc w:val="both"/>
          </w:pPr>
          <w:r>
            <w:pict>
              <v:shape id="文本框 2" o:spid="_x0000_s2049" o:spt="202" type="#_x0000_t202" style="position:absolute;left:0pt;margin-left:356.3pt;margin-top:3.15pt;height:33.25pt;width:72pt;z-index:251661312;mso-width-relative:page;mso-height-relative:page;" filled="f" stroked="f" coordsize="21600,21600">
                <v:path/>
                <v:fill on="f" focussize="0,0"/>
                <v:stroke on="f" joinstyle="miter"/>
                <v:imagedata o:title=""/>
                <o:lock v:ext="edit"/>
                <v:textbox inset="0mm,0mm,0mm,0mm">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ascii="黑体" w:eastAsia="黑体"/>
                          <w:sz w:val="10"/>
                        </w:rPr>
                        <w:drawing>
                          <wp:inline distT="0" distB="0" distL="0" distR="0">
                            <wp:extent cx="914400" cy="271780"/>
                            <wp:effectExtent l="19050" t="0" r="0" b="0"/>
                            <wp:docPr id="2"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QNet logo colour"/>
                                    <pic:cNvPicPr>
                                      <a:picLocks noChangeAspect="1" noChangeArrowheads="1"/>
                                    </pic:cNvPicPr>
                                  </pic:nvPicPr>
                                  <pic:blipFill>
                                    <a:blip r:embed="rId1"/>
                                    <a:srcRect/>
                                    <a:stretch>
                                      <a:fillRect/>
                                    </a:stretch>
                                  </pic:blipFill>
                                  <pic:spPr>
                                    <a:xfrm>
                                      <a:off x="0" y="0"/>
                                      <a:ext cx="914400" cy="271780"/>
                                    </a:xfrm>
                                    <a:prstGeom prst="rect">
                                      <a:avLst/>
                                    </a:prstGeom>
                                    <a:noFill/>
                                    <a:ln w="9525">
                                      <a:noFill/>
                                      <a:miter lim="800000"/>
                                      <a:headEnd/>
                                      <a:tailEnd/>
                                    </a:ln>
                                  </pic:spPr>
                                </pic:pic>
                              </a:graphicData>
                            </a:graphic>
                          </wp:inline>
                        </w:drawing>
                      </w:r>
                    </w:p>
                  </w:txbxContent>
                </v:textbox>
              </v:shape>
            </w:pict>
          </w:r>
          <w:r>
            <w:drawing>
              <wp:inline distT="0" distB="0" distL="0" distR="0">
                <wp:extent cx="2553335" cy="407670"/>
                <wp:effectExtent l="19050" t="0" r="0" b="0"/>
                <wp:docPr id="1"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方圆标志全称.jpg"/>
                        <pic:cNvPicPr>
                          <a:picLocks noChangeAspect="1" noChangeArrowheads="1"/>
                        </pic:cNvPicPr>
                      </pic:nvPicPr>
                      <pic:blipFill>
                        <a:blip r:embed="rId2"/>
                        <a:srcRect/>
                        <a:stretch>
                          <a:fillRect/>
                        </a:stretch>
                      </pic:blipFill>
                      <pic:spPr>
                        <a:xfrm>
                          <a:off x="0" y="0"/>
                          <a:ext cx="2553335" cy="407670"/>
                        </a:xfrm>
                        <a:prstGeom prst="rect">
                          <a:avLst/>
                        </a:prstGeom>
                        <a:noFill/>
                        <a:ln w="9525">
                          <a:noFill/>
                          <a:miter lim="800000"/>
                          <a:headEnd/>
                          <a:tailEnd/>
                        </a:ln>
                      </pic:spPr>
                    </pic:pic>
                  </a:graphicData>
                </a:graphic>
              </wp:inline>
            </w:drawing>
          </w:r>
        </w:p>
      </w:tc>
    </w:tr>
  </w:tbl>
  <w:p>
    <w:pPr>
      <w:jc w:val="left"/>
      <w:rPr>
        <w:sz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18D970"/>
    <w:multiLevelType w:val="multilevel"/>
    <w:tmpl w:val="9618D970"/>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1">
    <w:nsid w:val="B0C34A90"/>
    <w:multiLevelType w:val="multilevel"/>
    <w:tmpl w:val="B0C34A90"/>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2">
    <w:nsid w:val="B45D9693"/>
    <w:multiLevelType w:val="multilevel"/>
    <w:tmpl w:val="B45D9693"/>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3">
    <w:nsid w:val="C4D690F3"/>
    <w:multiLevelType w:val="multilevel"/>
    <w:tmpl w:val="C4D690F3"/>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4">
    <w:nsid w:val="CEC62CF7"/>
    <w:multiLevelType w:val="multilevel"/>
    <w:tmpl w:val="CEC62CF7"/>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5">
    <w:nsid w:val="D453832B"/>
    <w:multiLevelType w:val="multilevel"/>
    <w:tmpl w:val="D453832B"/>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6">
    <w:nsid w:val="E13839B6"/>
    <w:multiLevelType w:val="multilevel"/>
    <w:tmpl w:val="E13839B6"/>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7">
    <w:nsid w:val="F1F80CDF"/>
    <w:multiLevelType w:val="multilevel"/>
    <w:tmpl w:val="F1F80CDF"/>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8">
    <w:nsid w:val="0515341B"/>
    <w:multiLevelType w:val="multilevel"/>
    <w:tmpl w:val="0515341B"/>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16CC3A54"/>
    <w:multiLevelType w:val="multilevel"/>
    <w:tmpl w:val="16CC3A5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8856645"/>
    <w:multiLevelType w:val="multilevel"/>
    <w:tmpl w:val="18856645"/>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1">
    <w:nsid w:val="19312003"/>
    <w:multiLevelType w:val="multilevel"/>
    <w:tmpl w:val="19312003"/>
    <w:lvl w:ilvl="0" w:tentative="0">
      <w:start w:val="1"/>
      <w:numFmt w:val="lowerLetter"/>
      <w:lvlText w:val="%1)"/>
      <w:lvlJc w:val="left"/>
      <w:pPr>
        <w:tabs>
          <w:tab w:val="left" w:pos="718"/>
        </w:tabs>
        <w:ind w:left="718" w:hanging="360"/>
      </w:pPr>
      <w:rPr>
        <w:rFonts w:hint="eastAsia"/>
      </w:rPr>
    </w:lvl>
    <w:lvl w:ilvl="1" w:tentative="0">
      <w:start w:val="1"/>
      <w:numFmt w:val="lowerLetter"/>
      <w:lvlText w:val="%2)"/>
      <w:lvlJc w:val="left"/>
      <w:pPr>
        <w:tabs>
          <w:tab w:val="left" w:pos="1138"/>
        </w:tabs>
        <w:ind w:left="1138" w:hanging="360"/>
      </w:pPr>
      <w:rPr>
        <w:rFonts w:hint="eastAsia"/>
      </w:rPr>
    </w:lvl>
    <w:lvl w:ilvl="2" w:tentative="0">
      <w:start w:val="1"/>
      <w:numFmt w:val="lowerRoman"/>
      <w:lvlText w:val="%3."/>
      <w:lvlJc w:val="right"/>
      <w:pPr>
        <w:tabs>
          <w:tab w:val="left" w:pos="1618"/>
        </w:tabs>
        <w:ind w:left="1618" w:hanging="420"/>
      </w:pPr>
    </w:lvl>
    <w:lvl w:ilvl="3" w:tentative="0">
      <w:start w:val="1"/>
      <w:numFmt w:val="decimal"/>
      <w:lvlText w:val="%4."/>
      <w:lvlJc w:val="left"/>
      <w:pPr>
        <w:tabs>
          <w:tab w:val="left" w:pos="2038"/>
        </w:tabs>
        <w:ind w:left="2038" w:hanging="420"/>
      </w:pPr>
    </w:lvl>
    <w:lvl w:ilvl="4" w:tentative="0">
      <w:start w:val="1"/>
      <w:numFmt w:val="lowerLetter"/>
      <w:lvlText w:val="%5)"/>
      <w:lvlJc w:val="left"/>
      <w:pPr>
        <w:tabs>
          <w:tab w:val="left" w:pos="2458"/>
        </w:tabs>
        <w:ind w:left="2458" w:hanging="420"/>
      </w:pPr>
    </w:lvl>
    <w:lvl w:ilvl="5" w:tentative="0">
      <w:start w:val="1"/>
      <w:numFmt w:val="lowerRoman"/>
      <w:lvlText w:val="%6."/>
      <w:lvlJc w:val="right"/>
      <w:pPr>
        <w:tabs>
          <w:tab w:val="left" w:pos="2878"/>
        </w:tabs>
        <w:ind w:left="2878" w:hanging="420"/>
      </w:pPr>
    </w:lvl>
    <w:lvl w:ilvl="6" w:tentative="0">
      <w:start w:val="1"/>
      <w:numFmt w:val="decimal"/>
      <w:lvlText w:val="%7."/>
      <w:lvlJc w:val="left"/>
      <w:pPr>
        <w:tabs>
          <w:tab w:val="left" w:pos="3298"/>
        </w:tabs>
        <w:ind w:left="3298" w:hanging="420"/>
      </w:pPr>
    </w:lvl>
    <w:lvl w:ilvl="7" w:tentative="0">
      <w:start w:val="1"/>
      <w:numFmt w:val="lowerLetter"/>
      <w:lvlText w:val="%8)"/>
      <w:lvlJc w:val="left"/>
      <w:pPr>
        <w:tabs>
          <w:tab w:val="left" w:pos="3718"/>
        </w:tabs>
        <w:ind w:left="3718" w:hanging="420"/>
      </w:pPr>
    </w:lvl>
    <w:lvl w:ilvl="8" w:tentative="0">
      <w:start w:val="1"/>
      <w:numFmt w:val="lowerRoman"/>
      <w:lvlText w:val="%9."/>
      <w:lvlJc w:val="right"/>
      <w:pPr>
        <w:tabs>
          <w:tab w:val="left" w:pos="4138"/>
        </w:tabs>
        <w:ind w:left="4138" w:hanging="420"/>
      </w:pPr>
    </w:lvl>
  </w:abstractNum>
  <w:abstractNum w:abstractNumId="12">
    <w:nsid w:val="19947EAE"/>
    <w:multiLevelType w:val="multilevel"/>
    <w:tmpl w:val="19947EAE"/>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3">
    <w:nsid w:val="1A69658B"/>
    <w:multiLevelType w:val="multilevel"/>
    <w:tmpl w:val="1A69658B"/>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14">
    <w:nsid w:val="212F528A"/>
    <w:multiLevelType w:val="multilevel"/>
    <w:tmpl w:val="212F528A"/>
    <w:lvl w:ilvl="0" w:tentative="0">
      <w:start w:val="1"/>
      <w:numFmt w:val="lowerLetter"/>
      <w:lvlText w:val="%1)"/>
      <w:lvlJc w:val="left"/>
      <w:pPr>
        <w:tabs>
          <w:tab w:val="left" w:pos="718"/>
        </w:tabs>
        <w:ind w:left="718" w:hanging="360"/>
      </w:pPr>
      <w:rPr>
        <w:rFonts w:hint="eastAsia"/>
      </w:rPr>
    </w:lvl>
    <w:lvl w:ilvl="1" w:tentative="0">
      <w:start w:val="1"/>
      <w:numFmt w:val="decimal"/>
      <w:lvlText w:val="%2）"/>
      <w:lvlJc w:val="left"/>
      <w:pPr>
        <w:tabs>
          <w:tab w:val="left" w:pos="1138"/>
        </w:tabs>
        <w:ind w:left="1138" w:hanging="360"/>
      </w:pPr>
      <w:rPr>
        <w:rFonts w:hint="eastAsia"/>
      </w:rPr>
    </w:lvl>
    <w:lvl w:ilvl="2" w:tentative="0">
      <w:start w:val="1"/>
      <w:numFmt w:val="lowerRoman"/>
      <w:lvlText w:val="%3."/>
      <w:lvlJc w:val="right"/>
      <w:pPr>
        <w:tabs>
          <w:tab w:val="left" w:pos="1618"/>
        </w:tabs>
        <w:ind w:left="1618" w:hanging="420"/>
      </w:pPr>
    </w:lvl>
    <w:lvl w:ilvl="3" w:tentative="0">
      <w:start w:val="1"/>
      <w:numFmt w:val="decimal"/>
      <w:lvlText w:val="%4."/>
      <w:lvlJc w:val="left"/>
      <w:pPr>
        <w:tabs>
          <w:tab w:val="left" w:pos="2038"/>
        </w:tabs>
        <w:ind w:left="2038" w:hanging="420"/>
      </w:pPr>
    </w:lvl>
    <w:lvl w:ilvl="4" w:tentative="0">
      <w:start w:val="1"/>
      <w:numFmt w:val="lowerLetter"/>
      <w:lvlText w:val="%5)"/>
      <w:lvlJc w:val="left"/>
      <w:pPr>
        <w:tabs>
          <w:tab w:val="left" w:pos="2458"/>
        </w:tabs>
        <w:ind w:left="2458" w:hanging="420"/>
      </w:pPr>
    </w:lvl>
    <w:lvl w:ilvl="5" w:tentative="0">
      <w:start w:val="1"/>
      <w:numFmt w:val="lowerRoman"/>
      <w:lvlText w:val="%6."/>
      <w:lvlJc w:val="right"/>
      <w:pPr>
        <w:tabs>
          <w:tab w:val="left" w:pos="2878"/>
        </w:tabs>
        <w:ind w:left="2878" w:hanging="420"/>
      </w:pPr>
    </w:lvl>
    <w:lvl w:ilvl="6" w:tentative="0">
      <w:start w:val="1"/>
      <w:numFmt w:val="decimal"/>
      <w:lvlText w:val="%7."/>
      <w:lvlJc w:val="left"/>
      <w:pPr>
        <w:tabs>
          <w:tab w:val="left" w:pos="3298"/>
        </w:tabs>
        <w:ind w:left="3298" w:hanging="420"/>
      </w:pPr>
    </w:lvl>
    <w:lvl w:ilvl="7" w:tentative="0">
      <w:start w:val="1"/>
      <w:numFmt w:val="lowerLetter"/>
      <w:lvlText w:val="%8)"/>
      <w:lvlJc w:val="left"/>
      <w:pPr>
        <w:tabs>
          <w:tab w:val="left" w:pos="3718"/>
        </w:tabs>
        <w:ind w:left="3718" w:hanging="420"/>
      </w:pPr>
    </w:lvl>
    <w:lvl w:ilvl="8" w:tentative="0">
      <w:start w:val="1"/>
      <w:numFmt w:val="lowerRoman"/>
      <w:lvlText w:val="%9."/>
      <w:lvlJc w:val="right"/>
      <w:pPr>
        <w:tabs>
          <w:tab w:val="left" w:pos="4138"/>
        </w:tabs>
        <w:ind w:left="4138" w:hanging="420"/>
      </w:pPr>
    </w:lvl>
  </w:abstractNum>
  <w:abstractNum w:abstractNumId="15">
    <w:nsid w:val="23EE233C"/>
    <w:multiLevelType w:val="multilevel"/>
    <w:tmpl w:val="23EE233C"/>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16">
    <w:nsid w:val="284C327B"/>
    <w:multiLevelType w:val="multilevel"/>
    <w:tmpl w:val="284C327B"/>
    <w:lvl w:ilvl="0" w:tentative="0">
      <w:start w:val="1"/>
      <w:numFmt w:val="lowerLetter"/>
      <w:lvlText w:val="%1)"/>
      <w:lvlJc w:val="left"/>
      <w:pPr>
        <w:tabs>
          <w:tab w:val="left" w:pos="1078"/>
        </w:tabs>
        <w:ind w:left="1078" w:hanging="360"/>
      </w:pPr>
      <w:rPr>
        <w:rFonts w:hint="eastAsia"/>
      </w:rPr>
    </w:lvl>
    <w:lvl w:ilvl="1" w:tentative="0">
      <w:start w:val="1"/>
      <w:numFmt w:val="lowerLetter"/>
      <w:lvlText w:val="%2)"/>
      <w:lvlJc w:val="left"/>
      <w:pPr>
        <w:tabs>
          <w:tab w:val="left" w:pos="1199"/>
        </w:tabs>
        <w:ind w:left="1199" w:hanging="420"/>
      </w:p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17">
    <w:nsid w:val="2D2B0A28"/>
    <w:multiLevelType w:val="multilevel"/>
    <w:tmpl w:val="2D2B0A28"/>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8">
    <w:nsid w:val="33266C07"/>
    <w:multiLevelType w:val="multilevel"/>
    <w:tmpl w:val="33266C07"/>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19">
    <w:nsid w:val="373F2C40"/>
    <w:multiLevelType w:val="multilevel"/>
    <w:tmpl w:val="373F2C40"/>
    <w:lvl w:ilvl="0" w:tentative="0">
      <w:start w:val="1"/>
      <w:numFmt w:val="lowerLetter"/>
      <w:lvlText w:val="%1)"/>
      <w:lvlJc w:val="left"/>
      <w:pPr>
        <w:ind w:left="420" w:hanging="420"/>
      </w:p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0">
    <w:nsid w:val="379D396D"/>
    <w:multiLevelType w:val="multilevel"/>
    <w:tmpl w:val="379D396D"/>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decimal"/>
      <w:lvlText w:val="（%3）"/>
      <w:lvlJc w:val="left"/>
      <w:pPr>
        <w:ind w:left="2040" w:hanging="720"/>
      </w:pPr>
      <w:rPr>
        <w:rFonts w:hint="default"/>
      </w:r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39367964"/>
    <w:multiLevelType w:val="multilevel"/>
    <w:tmpl w:val="3936796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39CD24C6"/>
    <w:multiLevelType w:val="multilevel"/>
    <w:tmpl w:val="39CD24C6"/>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3">
    <w:nsid w:val="3C943EA4"/>
    <w:multiLevelType w:val="multilevel"/>
    <w:tmpl w:val="3C943EA4"/>
    <w:lvl w:ilvl="0" w:tentative="0">
      <w:start w:val="1"/>
      <w:numFmt w:val="lowerLetter"/>
      <w:lvlText w:val="%1)"/>
      <w:lvlJc w:val="left"/>
      <w:pPr>
        <w:tabs>
          <w:tab w:val="left" w:pos="719"/>
        </w:tabs>
        <w:ind w:left="719" w:hanging="360"/>
      </w:pPr>
      <w:rPr>
        <w:rFonts w:hint="eastAsia"/>
      </w:rPr>
    </w:lvl>
    <w:lvl w:ilvl="1" w:tentative="0">
      <w:start w:val="1"/>
      <w:numFmt w:val="decimal"/>
      <w:lvlText w:val="%2）"/>
      <w:lvlJc w:val="left"/>
      <w:pPr>
        <w:tabs>
          <w:tab w:val="left" w:pos="1139"/>
        </w:tabs>
        <w:ind w:left="1139" w:hanging="360"/>
      </w:pPr>
      <w:rPr>
        <w:rFonts w:hint="eastAsia"/>
      </w:r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24">
    <w:nsid w:val="439029F2"/>
    <w:multiLevelType w:val="multilevel"/>
    <w:tmpl w:val="439029F2"/>
    <w:lvl w:ilvl="0" w:tentative="0">
      <w:start w:val="1"/>
      <w:numFmt w:val="lowerLetter"/>
      <w:lvlText w:val="%1)"/>
      <w:lvlJc w:val="left"/>
      <w:pPr>
        <w:tabs>
          <w:tab w:val="left" w:pos="1078"/>
        </w:tabs>
        <w:ind w:left="1078" w:hanging="360"/>
      </w:pPr>
      <w:rPr>
        <w:rFonts w:hint="eastAsia"/>
      </w:rPr>
    </w:lvl>
    <w:lvl w:ilvl="1" w:tentative="0">
      <w:start w:val="1"/>
      <w:numFmt w:val="lowerLetter"/>
      <w:lvlText w:val="%2)"/>
      <w:lvlJc w:val="left"/>
      <w:pPr>
        <w:tabs>
          <w:tab w:val="left" w:pos="1199"/>
        </w:tabs>
        <w:ind w:left="1199" w:hanging="420"/>
      </w:p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25">
    <w:nsid w:val="45BC0B98"/>
    <w:multiLevelType w:val="multilevel"/>
    <w:tmpl w:val="45BC0B98"/>
    <w:lvl w:ilvl="0" w:tentative="0">
      <w:start w:val="1"/>
      <w:numFmt w:val="lowerLetter"/>
      <w:lvlText w:val="%1)"/>
      <w:lvlJc w:val="left"/>
      <w:pPr>
        <w:tabs>
          <w:tab w:val="left" w:pos="720"/>
        </w:tabs>
        <w:ind w:left="720" w:hanging="360"/>
      </w:pPr>
      <w:rPr>
        <w:rFonts w:hint="eastAsia"/>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6">
    <w:nsid w:val="4C3C676F"/>
    <w:multiLevelType w:val="multilevel"/>
    <w:tmpl w:val="4C3C676F"/>
    <w:lvl w:ilvl="0" w:tentative="0">
      <w:start w:val="1"/>
      <w:numFmt w:val="lowerLetter"/>
      <w:lvlText w:val="%1)"/>
      <w:lvlJc w:val="left"/>
      <w:pPr>
        <w:tabs>
          <w:tab w:val="left" w:pos="719"/>
        </w:tabs>
        <w:ind w:left="719" w:hanging="360"/>
      </w:pPr>
      <w:rPr>
        <w:rFonts w:hint="eastAsia"/>
      </w:rPr>
    </w:lvl>
    <w:lvl w:ilvl="1" w:tentative="0">
      <w:start w:val="1"/>
      <w:numFmt w:val="decimal"/>
      <w:lvlText w:val="%2）"/>
      <w:lvlJc w:val="left"/>
      <w:pPr>
        <w:tabs>
          <w:tab w:val="left" w:pos="1139"/>
        </w:tabs>
        <w:ind w:left="1139" w:hanging="360"/>
      </w:pPr>
      <w:rPr>
        <w:rFonts w:hint="eastAsia"/>
      </w:r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27">
    <w:nsid w:val="5588054B"/>
    <w:multiLevelType w:val="multilevel"/>
    <w:tmpl w:val="5588054B"/>
    <w:lvl w:ilvl="0" w:tentative="0">
      <w:start w:val="1"/>
      <w:numFmt w:val="lowerLetter"/>
      <w:lvlText w:val="%1)"/>
      <w:lvlJc w:val="left"/>
      <w:pPr>
        <w:tabs>
          <w:tab w:val="left" w:pos="1050"/>
        </w:tabs>
        <w:ind w:left="1050" w:hanging="690"/>
      </w:pPr>
      <w:rPr>
        <w:rFonts w:hint="eastAsia"/>
      </w:rPr>
    </w:lvl>
    <w:lvl w:ilvl="1" w:tentative="0">
      <w:start w:val="1"/>
      <w:numFmt w:val="lowerLetter"/>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8">
    <w:nsid w:val="60852B96"/>
    <w:multiLevelType w:val="multilevel"/>
    <w:tmpl w:val="60852B96"/>
    <w:lvl w:ilvl="0" w:tentative="0">
      <w:start w:val="1"/>
      <w:numFmt w:val="lowerLetter"/>
      <w:lvlText w:val="%1)"/>
      <w:lvlJc w:val="left"/>
      <w:pPr>
        <w:ind w:left="1138" w:hanging="420"/>
      </w:pPr>
    </w:lvl>
    <w:lvl w:ilvl="1" w:tentative="0">
      <w:start w:val="1"/>
      <w:numFmt w:val="lowerLetter"/>
      <w:lvlText w:val="%2)"/>
      <w:lvlJc w:val="left"/>
      <w:pPr>
        <w:ind w:left="1558" w:hanging="420"/>
      </w:pPr>
    </w:lvl>
    <w:lvl w:ilvl="2" w:tentative="0">
      <w:start w:val="1"/>
      <w:numFmt w:val="lowerRoman"/>
      <w:lvlText w:val="%3."/>
      <w:lvlJc w:val="right"/>
      <w:pPr>
        <w:ind w:left="1978" w:hanging="420"/>
      </w:pPr>
    </w:lvl>
    <w:lvl w:ilvl="3" w:tentative="0">
      <w:start w:val="1"/>
      <w:numFmt w:val="decimal"/>
      <w:lvlText w:val="%4."/>
      <w:lvlJc w:val="left"/>
      <w:pPr>
        <w:ind w:left="2398" w:hanging="420"/>
      </w:pPr>
    </w:lvl>
    <w:lvl w:ilvl="4" w:tentative="0">
      <w:start w:val="1"/>
      <w:numFmt w:val="lowerLetter"/>
      <w:lvlText w:val="%5)"/>
      <w:lvlJc w:val="left"/>
      <w:pPr>
        <w:ind w:left="2818" w:hanging="420"/>
      </w:pPr>
    </w:lvl>
    <w:lvl w:ilvl="5" w:tentative="0">
      <w:start w:val="1"/>
      <w:numFmt w:val="lowerRoman"/>
      <w:lvlText w:val="%6."/>
      <w:lvlJc w:val="right"/>
      <w:pPr>
        <w:ind w:left="3238" w:hanging="420"/>
      </w:pPr>
    </w:lvl>
    <w:lvl w:ilvl="6" w:tentative="0">
      <w:start w:val="1"/>
      <w:numFmt w:val="decimal"/>
      <w:lvlText w:val="%7."/>
      <w:lvlJc w:val="left"/>
      <w:pPr>
        <w:ind w:left="3658" w:hanging="420"/>
      </w:pPr>
    </w:lvl>
    <w:lvl w:ilvl="7" w:tentative="0">
      <w:start w:val="1"/>
      <w:numFmt w:val="lowerLetter"/>
      <w:lvlText w:val="%8)"/>
      <w:lvlJc w:val="left"/>
      <w:pPr>
        <w:ind w:left="4078" w:hanging="420"/>
      </w:pPr>
    </w:lvl>
    <w:lvl w:ilvl="8" w:tentative="0">
      <w:start w:val="1"/>
      <w:numFmt w:val="lowerRoman"/>
      <w:lvlText w:val="%9."/>
      <w:lvlJc w:val="right"/>
      <w:pPr>
        <w:ind w:left="4498" w:hanging="420"/>
      </w:pPr>
    </w:lvl>
  </w:abstractNum>
  <w:abstractNum w:abstractNumId="29">
    <w:nsid w:val="61C75643"/>
    <w:multiLevelType w:val="multilevel"/>
    <w:tmpl w:val="61C75643"/>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30">
    <w:nsid w:val="620C36AF"/>
    <w:multiLevelType w:val="multilevel"/>
    <w:tmpl w:val="620C36AF"/>
    <w:lvl w:ilvl="0" w:tentative="0">
      <w:start w:val="1"/>
      <w:numFmt w:val="lowerLetter"/>
      <w:lvlText w:val="%1)"/>
      <w:lvlJc w:val="left"/>
      <w:pPr>
        <w:tabs>
          <w:tab w:val="left" w:pos="719"/>
        </w:tabs>
        <w:ind w:left="719" w:hanging="360"/>
      </w:pPr>
      <w:rPr>
        <w:rFonts w:hint="eastAsia"/>
      </w:rPr>
    </w:lvl>
    <w:lvl w:ilvl="1" w:tentative="0">
      <w:start w:val="1"/>
      <w:numFmt w:val="lowerLetter"/>
      <w:lvlText w:val="%2)"/>
      <w:lvlJc w:val="left"/>
      <w:pPr>
        <w:tabs>
          <w:tab w:val="left" w:pos="1139"/>
        </w:tabs>
        <w:ind w:left="1139" w:hanging="360"/>
      </w:pPr>
      <w:rPr>
        <w:rFonts w:hint="eastAsia"/>
      </w:rPr>
    </w:lvl>
    <w:lvl w:ilvl="2" w:tentative="0">
      <w:start w:val="1"/>
      <w:numFmt w:val="lowerLetter"/>
      <w:lvlText w:val="%3)"/>
      <w:lvlJc w:val="left"/>
      <w:pPr>
        <w:tabs>
          <w:tab w:val="left" w:pos="720"/>
        </w:tabs>
        <w:ind w:left="720" w:hanging="360"/>
      </w:pPr>
      <w:rPr>
        <w:rFonts w:hint="eastAsia"/>
      </w:r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31">
    <w:nsid w:val="624369EF"/>
    <w:multiLevelType w:val="multilevel"/>
    <w:tmpl w:val="624369EF"/>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2">
    <w:nsid w:val="6A675048"/>
    <w:multiLevelType w:val="multilevel"/>
    <w:tmpl w:val="6A675048"/>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3">
    <w:nsid w:val="6BB9626A"/>
    <w:multiLevelType w:val="multilevel"/>
    <w:tmpl w:val="6BB9626A"/>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34">
    <w:nsid w:val="7253558C"/>
    <w:multiLevelType w:val="multilevel"/>
    <w:tmpl w:val="7253558C"/>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5">
    <w:nsid w:val="72C55BA4"/>
    <w:multiLevelType w:val="multilevel"/>
    <w:tmpl w:val="72C55BA4"/>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36">
    <w:nsid w:val="74506942"/>
    <w:multiLevelType w:val="multilevel"/>
    <w:tmpl w:val="74506942"/>
    <w:lvl w:ilvl="0" w:tentative="0">
      <w:start w:val="1"/>
      <w:numFmt w:val="lowerLetter"/>
      <w:lvlText w:val="%1)"/>
      <w:lvlJc w:val="left"/>
      <w:pPr>
        <w:tabs>
          <w:tab w:val="left" w:pos="718"/>
        </w:tabs>
        <w:ind w:left="718" w:hanging="360"/>
      </w:pPr>
      <w:rPr>
        <w:rFonts w:hint="eastAsia"/>
      </w:rPr>
    </w:lvl>
    <w:lvl w:ilvl="1" w:tentative="0">
      <w:start w:val="1"/>
      <w:numFmt w:val="lowerLetter"/>
      <w:lvlText w:val="%2)"/>
      <w:lvlJc w:val="left"/>
      <w:pPr>
        <w:tabs>
          <w:tab w:val="left" w:pos="1138"/>
        </w:tabs>
        <w:ind w:left="1138" w:hanging="360"/>
      </w:pPr>
      <w:rPr>
        <w:rFonts w:hint="eastAsia"/>
      </w:rPr>
    </w:lvl>
    <w:lvl w:ilvl="2" w:tentative="0">
      <w:start w:val="1"/>
      <w:numFmt w:val="lowerRoman"/>
      <w:lvlText w:val="%3."/>
      <w:lvlJc w:val="right"/>
      <w:pPr>
        <w:tabs>
          <w:tab w:val="left" w:pos="1618"/>
        </w:tabs>
        <w:ind w:left="1618" w:hanging="420"/>
      </w:pPr>
    </w:lvl>
    <w:lvl w:ilvl="3" w:tentative="0">
      <w:start w:val="1"/>
      <w:numFmt w:val="decimal"/>
      <w:lvlText w:val="%4."/>
      <w:lvlJc w:val="left"/>
      <w:pPr>
        <w:tabs>
          <w:tab w:val="left" w:pos="2038"/>
        </w:tabs>
        <w:ind w:left="2038" w:hanging="420"/>
      </w:pPr>
    </w:lvl>
    <w:lvl w:ilvl="4" w:tentative="0">
      <w:start w:val="1"/>
      <w:numFmt w:val="lowerLetter"/>
      <w:lvlText w:val="%5)"/>
      <w:lvlJc w:val="left"/>
      <w:pPr>
        <w:tabs>
          <w:tab w:val="left" w:pos="2458"/>
        </w:tabs>
        <w:ind w:left="2458" w:hanging="420"/>
      </w:pPr>
    </w:lvl>
    <w:lvl w:ilvl="5" w:tentative="0">
      <w:start w:val="1"/>
      <w:numFmt w:val="lowerRoman"/>
      <w:lvlText w:val="%6."/>
      <w:lvlJc w:val="right"/>
      <w:pPr>
        <w:tabs>
          <w:tab w:val="left" w:pos="2878"/>
        </w:tabs>
        <w:ind w:left="2878" w:hanging="420"/>
      </w:pPr>
    </w:lvl>
    <w:lvl w:ilvl="6" w:tentative="0">
      <w:start w:val="1"/>
      <w:numFmt w:val="decimal"/>
      <w:lvlText w:val="%7."/>
      <w:lvlJc w:val="left"/>
      <w:pPr>
        <w:tabs>
          <w:tab w:val="left" w:pos="3298"/>
        </w:tabs>
        <w:ind w:left="3298" w:hanging="420"/>
      </w:pPr>
    </w:lvl>
    <w:lvl w:ilvl="7" w:tentative="0">
      <w:start w:val="1"/>
      <w:numFmt w:val="lowerLetter"/>
      <w:lvlText w:val="%8)"/>
      <w:lvlJc w:val="left"/>
      <w:pPr>
        <w:tabs>
          <w:tab w:val="left" w:pos="3718"/>
        </w:tabs>
        <w:ind w:left="3718" w:hanging="420"/>
      </w:pPr>
    </w:lvl>
    <w:lvl w:ilvl="8" w:tentative="0">
      <w:start w:val="1"/>
      <w:numFmt w:val="lowerRoman"/>
      <w:lvlText w:val="%9."/>
      <w:lvlJc w:val="right"/>
      <w:pPr>
        <w:tabs>
          <w:tab w:val="left" w:pos="4138"/>
        </w:tabs>
        <w:ind w:left="4138" w:hanging="420"/>
      </w:pPr>
    </w:lvl>
  </w:abstractNum>
  <w:abstractNum w:abstractNumId="37">
    <w:nsid w:val="7D366003"/>
    <w:multiLevelType w:val="multilevel"/>
    <w:tmpl w:val="7D366003"/>
    <w:lvl w:ilvl="0" w:tentative="0">
      <w:start w:val="1"/>
      <w:numFmt w:val="lowerLetter"/>
      <w:lvlText w:val="%1)"/>
      <w:lvlJc w:val="left"/>
      <w:pPr>
        <w:ind w:left="660" w:hanging="420"/>
      </w:p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num w:numId="1">
    <w:abstractNumId w:val="9"/>
  </w:num>
  <w:num w:numId="2">
    <w:abstractNumId w:val="21"/>
  </w:num>
  <w:num w:numId="3">
    <w:abstractNumId w:val="19"/>
  </w:num>
  <w:num w:numId="4">
    <w:abstractNumId w:val="17"/>
  </w:num>
  <w:num w:numId="5">
    <w:abstractNumId w:val="8"/>
  </w:num>
  <w:num w:numId="6">
    <w:abstractNumId w:val="28"/>
  </w:num>
  <w:num w:numId="7">
    <w:abstractNumId w:val="25"/>
  </w:num>
  <w:num w:numId="8">
    <w:abstractNumId w:val="30"/>
  </w:num>
  <w:num w:numId="9">
    <w:abstractNumId w:val="29"/>
  </w:num>
  <w:num w:numId="10">
    <w:abstractNumId w:val="33"/>
  </w:num>
  <w:num w:numId="11">
    <w:abstractNumId w:val="27"/>
  </w:num>
  <w:num w:numId="12">
    <w:abstractNumId w:val="14"/>
  </w:num>
  <w:num w:numId="13">
    <w:abstractNumId w:val="11"/>
  </w:num>
  <w:num w:numId="14">
    <w:abstractNumId w:val="36"/>
  </w:num>
  <w:num w:numId="15">
    <w:abstractNumId w:val="24"/>
  </w:num>
  <w:num w:numId="16">
    <w:abstractNumId w:val="16"/>
  </w:num>
  <w:num w:numId="17">
    <w:abstractNumId w:val="10"/>
  </w:num>
  <w:num w:numId="18">
    <w:abstractNumId w:val="32"/>
  </w:num>
  <w:num w:numId="19">
    <w:abstractNumId w:val="13"/>
  </w:num>
  <w:num w:numId="20">
    <w:abstractNumId w:val="31"/>
  </w:num>
  <w:num w:numId="21">
    <w:abstractNumId w:val="20"/>
  </w:num>
  <w:num w:numId="22">
    <w:abstractNumId w:val="12"/>
  </w:num>
  <w:num w:numId="23">
    <w:abstractNumId w:val="4"/>
  </w:num>
  <w:num w:numId="24">
    <w:abstractNumId w:val="3"/>
  </w:num>
  <w:num w:numId="25">
    <w:abstractNumId w:val="0"/>
  </w:num>
  <w:num w:numId="26">
    <w:abstractNumId w:val="7"/>
  </w:num>
  <w:num w:numId="27">
    <w:abstractNumId w:val="1"/>
  </w:num>
  <w:num w:numId="28">
    <w:abstractNumId w:val="34"/>
  </w:num>
  <w:num w:numId="29">
    <w:abstractNumId w:val="22"/>
  </w:num>
  <w:num w:numId="30">
    <w:abstractNumId w:val="18"/>
  </w:num>
  <w:num w:numId="31">
    <w:abstractNumId w:val="5"/>
  </w:num>
  <w:num w:numId="32">
    <w:abstractNumId w:val="15"/>
  </w:num>
  <w:num w:numId="33">
    <w:abstractNumId w:val="35"/>
  </w:num>
  <w:num w:numId="34">
    <w:abstractNumId w:val="6"/>
  </w:num>
  <w:num w:numId="35">
    <w:abstractNumId w:val="2"/>
  </w:num>
  <w:num w:numId="36">
    <w:abstractNumId w:val="37"/>
  </w:num>
  <w:num w:numId="37">
    <w:abstractNumId w:val="23"/>
  </w:num>
  <w:num w:numId="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1"/>
  <w:bordersDoNotSurroundFooter w:val="1"/>
  <w:attachedTemplate r:id="rId1"/>
  <w:trackRevisions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81E4C"/>
    <w:rsid w:val="00000D43"/>
    <w:rsid w:val="0000246B"/>
    <w:rsid w:val="00004210"/>
    <w:rsid w:val="0000519F"/>
    <w:rsid w:val="00010247"/>
    <w:rsid w:val="00011C2C"/>
    <w:rsid w:val="00012615"/>
    <w:rsid w:val="00012AE8"/>
    <w:rsid w:val="0001483A"/>
    <w:rsid w:val="000153BB"/>
    <w:rsid w:val="00016891"/>
    <w:rsid w:val="000419B7"/>
    <w:rsid w:val="00042601"/>
    <w:rsid w:val="00050291"/>
    <w:rsid w:val="000536E5"/>
    <w:rsid w:val="0006018F"/>
    <w:rsid w:val="00063E74"/>
    <w:rsid w:val="00064F31"/>
    <w:rsid w:val="00067549"/>
    <w:rsid w:val="00071FFA"/>
    <w:rsid w:val="00091D8F"/>
    <w:rsid w:val="00094F15"/>
    <w:rsid w:val="00095020"/>
    <w:rsid w:val="000A4358"/>
    <w:rsid w:val="000A49BD"/>
    <w:rsid w:val="000B1114"/>
    <w:rsid w:val="000B7D46"/>
    <w:rsid w:val="000C2334"/>
    <w:rsid w:val="000C637F"/>
    <w:rsid w:val="000D140A"/>
    <w:rsid w:val="000D4927"/>
    <w:rsid w:val="000D5A9C"/>
    <w:rsid w:val="000D76FE"/>
    <w:rsid w:val="000F081B"/>
    <w:rsid w:val="000F14D0"/>
    <w:rsid w:val="000F53A5"/>
    <w:rsid w:val="000F5855"/>
    <w:rsid w:val="00107B89"/>
    <w:rsid w:val="00114013"/>
    <w:rsid w:val="001150B0"/>
    <w:rsid w:val="00116797"/>
    <w:rsid w:val="00116CB0"/>
    <w:rsid w:val="00124293"/>
    <w:rsid w:val="001275F6"/>
    <w:rsid w:val="0013112B"/>
    <w:rsid w:val="001337A5"/>
    <w:rsid w:val="0013733D"/>
    <w:rsid w:val="001457C4"/>
    <w:rsid w:val="00146B0F"/>
    <w:rsid w:val="001507B4"/>
    <w:rsid w:val="0016329E"/>
    <w:rsid w:val="001646D5"/>
    <w:rsid w:val="00174B18"/>
    <w:rsid w:val="00174CC6"/>
    <w:rsid w:val="001758A0"/>
    <w:rsid w:val="00176E56"/>
    <w:rsid w:val="001838F4"/>
    <w:rsid w:val="001843EC"/>
    <w:rsid w:val="001848B5"/>
    <w:rsid w:val="00185E5C"/>
    <w:rsid w:val="00186E8B"/>
    <w:rsid w:val="00190AC4"/>
    <w:rsid w:val="00195C4C"/>
    <w:rsid w:val="001A3C54"/>
    <w:rsid w:val="001B5496"/>
    <w:rsid w:val="001B73E6"/>
    <w:rsid w:val="001C21EF"/>
    <w:rsid w:val="001C39D6"/>
    <w:rsid w:val="001C3FC4"/>
    <w:rsid w:val="001D1888"/>
    <w:rsid w:val="001D52A2"/>
    <w:rsid w:val="001E3801"/>
    <w:rsid w:val="001E71F8"/>
    <w:rsid w:val="001F24A2"/>
    <w:rsid w:val="001F4C22"/>
    <w:rsid w:val="001F6970"/>
    <w:rsid w:val="001F7E40"/>
    <w:rsid w:val="00201611"/>
    <w:rsid w:val="0020392A"/>
    <w:rsid w:val="00210666"/>
    <w:rsid w:val="00211C38"/>
    <w:rsid w:val="002205DF"/>
    <w:rsid w:val="0022090A"/>
    <w:rsid w:val="0022342D"/>
    <w:rsid w:val="0022637B"/>
    <w:rsid w:val="00231B40"/>
    <w:rsid w:val="002400D0"/>
    <w:rsid w:val="0025033F"/>
    <w:rsid w:val="002567F9"/>
    <w:rsid w:val="00261C2F"/>
    <w:rsid w:val="00263C8A"/>
    <w:rsid w:val="00275CB0"/>
    <w:rsid w:val="00277544"/>
    <w:rsid w:val="002779C8"/>
    <w:rsid w:val="002876A4"/>
    <w:rsid w:val="00294DA0"/>
    <w:rsid w:val="0029639C"/>
    <w:rsid w:val="002B0CF8"/>
    <w:rsid w:val="002B508C"/>
    <w:rsid w:val="002C1F20"/>
    <w:rsid w:val="002D1AE9"/>
    <w:rsid w:val="002E2205"/>
    <w:rsid w:val="002F472B"/>
    <w:rsid w:val="00301B8B"/>
    <w:rsid w:val="003028E7"/>
    <w:rsid w:val="00305024"/>
    <w:rsid w:val="00307F07"/>
    <w:rsid w:val="00310406"/>
    <w:rsid w:val="0031432C"/>
    <w:rsid w:val="00315F19"/>
    <w:rsid w:val="00323824"/>
    <w:rsid w:val="00324FEE"/>
    <w:rsid w:val="003322D3"/>
    <w:rsid w:val="0033295D"/>
    <w:rsid w:val="00335DCE"/>
    <w:rsid w:val="00336253"/>
    <w:rsid w:val="00337F41"/>
    <w:rsid w:val="00340643"/>
    <w:rsid w:val="00343A8F"/>
    <w:rsid w:val="00343BCE"/>
    <w:rsid w:val="003448D4"/>
    <w:rsid w:val="00345310"/>
    <w:rsid w:val="003473AE"/>
    <w:rsid w:val="00354624"/>
    <w:rsid w:val="003564CA"/>
    <w:rsid w:val="003627A8"/>
    <w:rsid w:val="00362EED"/>
    <w:rsid w:val="003772FA"/>
    <w:rsid w:val="00385D2B"/>
    <w:rsid w:val="0039094B"/>
    <w:rsid w:val="00392A6D"/>
    <w:rsid w:val="00394095"/>
    <w:rsid w:val="00394742"/>
    <w:rsid w:val="003949D7"/>
    <w:rsid w:val="003A3354"/>
    <w:rsid w:val="003A63E6"/>
    <w:rsid w:val="003B5C96"/>
    <w:rsid w:val="003C36CB"/>
    <w:rsid w:val="003C662A"/>
    <w:rsid w:val="003C77F6"/>
    <w:rsid w:val="003D4E67"/>
    <w:rsid w:val="003E1041"/>
    <w:rsid w:val="003E2C22"/>
    <w:rsid w:val="003E4922"/>
    <w:rsid w:val="003E5C19"/>
    <w:rsid w:val="003E7BDF"/>
    <w:rsid w:val="003F6E84"/>
    <w:rsid w:val="003F70EF"/>
    <w:rsid w:val="003F74A7"/>
    <w:rsid w:val="003F74DC"/>
    <w:rsid w:val="0040259A"/>
    <w:rsid w:val="0040303A"/>
    <w:rsid w:val="00403E84"/>
    <w:rsid w:val="00404A64"/>
    <w:rsid w:val="0041304A"/>
    <w:rsid w:val="00416B74"/>
    <w:rsid w:val="00420F36"/>
    <w:rsid w:val="00421CA5"/>
    <w:rsid w:val="004261AB"/>
    <w:rsid w:val="00431554"/>
    <w:rsid w:val="00431A02"/>
    <w:rsid w:val="0043648E"/>
    <w:rsid w:val="00444A7B"/>
    <w:rsid w:val="0044502B"/>
    <w:rsid w:val="00445123"/>
    <w:rsid w:val="00445BF0"/>
    <w:rsid w:val="00446C13"/>
    <w:rsid w:val="004470A3"/>
    <w:rsid w:val="00455E9D"/>
    <w:rsid w:val="0045663B"/>
    <w:rsid w:val="00460071"/>
    <w:rsid w:val="00461920"/>
    <w:rsid w:val="00463155"/>
    <w:rsid w:val="0046460F"/>
    <w:rsid w:val="004725F7"/>
    <w:rsid w:val="00481E4C"/>
    <w:rsid w:val="00485D48"/>
    <w:rsid w:val="0049145B"/>
    <w:rsid w:val="004933A9"/>
    <w:rsid w:val="00494713"/>
    <w:rsid w:val="004A5C40"/>
    <w:rsid w:val="004A678A"/>
    <w:rsid w:val="004C1BBB"/>
    <w:rsid w:val="004C34BC"/>
    <w:rsid w:val="004C6E83"/>
    <w:rsid w:val="004D34A1"/>
    <w:rsid w:val="004D4437"/>
    <w:rsid w:val="004F4748"/>
    <w:rsid w:val="00501362"/>
    <w:rsid w:val="00510743"/>
    <w:rsid w:val="005152A6"/>
    <w:rsid w:val="00516730"/>
    <w:rsid w:val="00521C5E"/>
    <w:rsid w:val="00524C7E"/>
    <w:rsid w:val="005301DC"/>
    <w:rsid w:val="00531F74"/>
    <w:rsid w:val="00533F5B"/>
    <w:rsid w:val="00534882"/>
    <w:rsid w:val="00535568"/>
    <w:rsid w:val="0054599D"/>
    <w:rsid w:val="005560AB"/>
    <w:rsid w:val="00564BE6"/>
    <w:rsid w:val="00572AA9"/>
    <w:rsid w:val="00573061"/>
    <w:rsid w:val="005753A1"/>
    <w:rsid w:val="00575E01"/>
    <w:rsid w:val="005825CD"/>
    <w:rsid w:val="00582F57"/>
    <w:rsid w:val="00582F84"/>
    <w:rsid w:val="005A1B35"/>
    <w:rsid w:val="005A315D"/>
    <w:rsid w:val="005A55B1"/>
    <w:rsid w:val="005B3AEE"/>
    <w:rsid w:val="005C0D2C"/>
    <w:rsid w:val="005C1701"/>
    <w:rsid w:val="005C1A54"/>
    <w:rsid w:val="005C1C9D"/>
    <w:rsid w:val="005C29C1"/>
    <w:rsid w:val="005C5FD0"/>
    <w:rsid w:val="005C6041"/>
    <w:rsid w:val="005D5DA2"/>
    <w:rsid w:val="005E094A"/>
    <w:rsid w:val="005E55C4"/>
    <w:rsid w:val="005E7388"/>
    <w:rsid w:val="005E75F3"/>
    <w:rsid w:val="005F0B39"/>
    <w:rsid w:val="005F2D3F"/>
    <w:rsid w:val="005F2D5C"/>
    <w:rsid w:val="005F3FD4"/>
    <w:rsid w:val="005F4A66"/>
    <w:rsid w:val="006012F7"/>
    <w:rsid w:val="00601BB9"/>
    <w:rsid w:val="006025F2"/>
    <w:rsid w:val="00610324"/>
    <w:rsid w:val="00612F84"/>
    <w:rsid w:val="00613687"/>
    <w:rsid w:val="006141E7"/>
    <w:rsid w:val="00620E67"/>
    <w:rsid w:val="00621AF7"/>
    <w:rsid w:val="00623D9C"/>
    <w:rsid w:val="006256EB"/>
    <w:rsid w:val="006256FC"/>
    <w:rsid w:val="006271FA"/>
    <w:rsid w:val="006309CA"/>
    <w:rsid w:val="00630AD3"/>
    <w:rsid w:val="00632323"/>
    <w:rsid w:val="0064147B"/>
    <w:rsid w:val="00645B19"/>
    <w:rsid w:val="006467C3"/>
    <w:rsid w:val="0066695F"/>
    <w:rsid w:val="0068036A"/>
    <w:rsid w:val="00681A5B"/>
    <w:rsid w:val="00687E5C"/>
    <w:rsid w:val="00692778"/>
    <w:rsid w:val="00693CD4"/>
    <w:rsid w:val="006945AD"/>
    <w:rsid w:val="00697183"/>
    <w:rsid w:val="006974E2"/>
    <w:rsid w:val="006A2931"/>
    <w:rsid w:val="006A4C7F"/>
    <w:rsid w:val="006B11CD"/>
    <w:rsid w:val="006B1748"/>
    <w:rsid w:val="006B1AC5"/>
    <w:rsid w:val="006B30C8"/>
    <w:rsid w:val="006B5401"/>
    <w:rsid w:val="006C2176"/>
    <w:rsid w:val="006C2B22"/>
    <w:rsid w:val="006C3EA4"/>
    <w:rsid w:val="006C7688"/>
    <w:rsid w:val="006D6269"/>
    <w:rsid w:val="006D7B2A"/>
    <w:rsid w:val="006E51DA"/>
    <w:rsid w:val="006E6762"/>
    <w:rsid w:val="006F5FDE"/>
    <w:rsid w:val="00702703"/>
    <w:rsid w:val="00703001"/>
    <w:rsid w:val="00707A45"/>
    <w:rsid w:val="00710DCB"/>
    <w:rsid w:val="007111D2"/>
    <w:rsid w:val="0072040F"/>
    <w:rsid w:val="007221C8"/>
    <w:rsid w:val="0072393A"/>
    <w:rsid w:val="00732620"/>
    <w:rsid w:val="007352C3"/>
    <w:rsid w:val="00736259"/>
    <w:rsid w:val="007467E5"/>
    <w:rsid w:val="00750AE6"/>
    <w:rsid w:val="0075155D"/>
    <w:rsid w:val="00765B22"/>
    <w:rsid w:val="00766756"/>
    <w:rsid w:val="007756B8"/>
    <w:rsid w:val="00781F91"/>
    <w:rsid w:val="00786A25"/>
    <w:rsid w:val="00791C94"/>
    <w:rsid w:val="00793DC9"/>
    <w:rsid w:val="0079487D"/>
    <w:rsid w:val="007A2F9B"/>
    <w:rsid w:val="007B74AD"/>
    <w:rsid w:val="007C339F"/>
    <w:rsid w:val="007C518F"/>
    <w:rsid w:val="007C66C3"/>
    <w:rsid w:val="007E1334"/>
    <w:rsid w:val="007E34E4"/>
    <w:rsid w:val="007F3A08"/>
    <w:rsid w:val="007F5E73"/>
    <w:rsid w:val="008009FA"/>
    <w:rsid w:val="0080176E"/>
    <w:rsid w:val="00801B04"/>
    <w:rsid w:val="008024BE"/>
    <w:rsid w:val="008027B5"/>
    <w:rsid w:val="00805652"/>
    <w:rsid w:val="00807EC6"/>
    <w:rsid w:val="0081449E"/>
    <w:rsid w:val="00820596"/>
    <w:rsid w:val="00821898"/>
    <w:rsid w:val="00823F67"/>
    <w:rsid w:val="00825D12"/>
    <w:rsid w:val="0083178A"/>
    <w:rsid w:val="008343A4"/>
    <w:rsid w:val="00837C0E"/>
    <w:rsid w:val="008417D0"/>
    <w:rsid w:val="00847752"/>
    <w:rsid w:val="0085285C"/>
    <w:rsid w:val="0085386E"/>
    <w:rsid w:val="00861FA9"/>
    <w:rsid w:val="00865576"/>
    <w:rsid w:val="00890591"/>
    <w:rsid w:val="008909C0"/>
    <w:rsid w:val="00893BBA"/>
    <w:rsid w:val="00896356"/>
    <w:rsid w:val="008A32DB"/>
    <w:rsid w:val="008A5120"/>
    <w:rsid w:val="008A5710"/>
    <w:rsid w:val="008C27F4"/>
    <w:rsid w:val="008C3AC7"/>
    <w:rsid w:val="008C6F78"/>
    <w:rsid w:val="008D1121"/>
    <w:rsid w:val="008D1BD9"/>
    <w:rsid w:val="008D79F0"/>
    <w:rsid w:val="008E18B5"/>
    <w:rsid w:val="008E43E5"/>
    <w:rsid w:val="008F184A"/>
    <w:rsid w:val="008F5A44"/>
    <w:rsid w:val="008F5E14"/>
    <w:rsid w:val="00900533"/>
    <w:rsid w:val="009025A3"/>
    <w:rsid w:val="009059FB"/>
    <w:rsid w:val="00905C72"/>
    <w:rsid w:val="00907A79"/>
    <w:rsid w:val="00931015"/>
    <w:rsid w:val="009314F5"/>
    <w:rsid w:val="00931536"/>
    <w:rsid w:val="00931B62"/>
    <w:rsid w:val="0093450F"/>
    <w:rsid w:val="00934B2F"/>
    <w:rsid w:val="00936E3E"/>
    <w:rsid w:val="00937C0A"/>
    <w:rsid w:val="00942DA6"/>
    <w:rsid w:val="009460BD"/>
    <w:rsid w:val="00947868"/>
    <w:rsid w:val="009511A3"/>
    <w:rsid w:val="009557D2"/>
    <w:rsid w:val="00956C64"/>
    <w:rsid w:val="00957225"/>
    <w:rsid w:val="00960240"/>
    <w:rsid w:val="009608B2"/>
    <w:rsid w:val="009616BF"/>
    <w:rsid w:val="0097697B"/>
    <w:rsid w:val="00983881"/>
    <w:rsid w:val="00986B5B"/>
    <w:rsid w:val="00986FD2"/>
    <w:rsid w:val="0099040C"/>
    <w:rsid w:val="009916F6"/>
    <w:rsid w:val="00991E1C"/>
    <w:rsid w:val="00993BDF"/>
    <w:rsid w:val="009A26F8"/>
    <w:rsid w:val="009A3CD1"/>
    <w:rsid w:val="009A4C71"/>
    <w:rsid w:val="009A584F"/>
    <w:rsid w:val="009B1C65"/>
    <w:rsid w:val="009B3169"/>
    <w:rsid w:val="009B619D"/>
    <w:rsid w:val="009C0E25"/>
    <w:rsid w:val="009C1367"/>
    <w:rsid w:val="009C54AC"/>
    <w:rsid w:val="009C6233"/>
    <w:rsid w:val="009C65B7"/>
    <w:rsid w:val="009E3F81"/>
    <w:rsid w:val="009F4CA1"/>
    <w:rsid w:val="00A03108"/>
    <w:rsid w:val="00A10EEA"/>
    <w:rsid w:val="00A15510"/>
    <w:rsid w:val="00A2037F"/>
    <w:rsid w:val="00A216F2"/>
    <w:rsid w:val="00A25973"/>
    <w:rsid w:val="00A37A55"/>
    <w:rsid w:val="00A4469D"/>
    <w:rsid w:val="00A50A12"/>
    <w:rsid w:val="00A50DF3"/>
    <w:rsid w:val="00A56989"/>
    <w:rsid w:val="00A61FA1"/>
    <w:rsid w:val="00A62451"/>
    <w:rsid w:val="00A633F7"/>
    <w:rsid w:val="00A64B93"/>
    <w:rsid w:val="00A70627"/>
    <w:rsid w:val="00A71B6A"/>
    <w:rsid w:val="00A74D61"/>
    <w:rsid w:val="00A77389"/>
    <w:rsid w:val="00A81455"/>
    <w:rsid w:val="00A85052"/>
    <w:rsid w:val="00A86FA1"/>
    <w:rsid w:val="00A9148F"/>
    <w:rsid w:val="00A94966"/>
    <w:rsid w:val="00A978DE"/>
    <w:rsid w:val="00AA01E1"/>
    <w:rsid w:val="00AA039C"/>
    <w:rsid w:val="00AA34B4"/>
    <w:rsid w:val="00AA4485"/>
    <w:rsid w:val="00AA5535"/>
    <w:rsid w:val="00AA7422"/>
    <w:rsid w:val="00AB2AB4"/>
    <w:rsid w:val="00AB4650"/>
    <w:rsid w:val="00AC16E8"/>
    <w:rsid w:val="00AC4878"/>
    <w:rsid w:val="00AC774D"/>
    <w:rsid w:val="00AD0A34"/>
    <w:rsid w:val="00AD2770"/>
    <w:rsid w:val="00AD3BF8"/>
    <w:rsid w:val="00AD6E5E"/>
    <w:rsid w:val="00AF1653"/>
    <w:rsid w:val="00AF39CC"/>
    <w:rsid w:val="00AF79E4"/>
    <w:rsid w:val="00B03BC2"/>
    <w:rsid w:val="00B305B7"/>
    <w:rsid w:val="00B333E2"/>
    <w:rsid w:val="00B342E6"/>
    <w:rsid w:val="00B37453"/>
    <w:rsid w:val="00B40EFD"/>
    <w:rsid w:val="00B41DDF"/>
    <w:rsid w:val="00B4679E"/>
    <w:rsid w:val="00B47316"/>
    <w:rsid w:val="00B54C11"/>
    <w:rsid w:val="00B55F5D"/>
    <w:rsid w:val="00B56632"/>
    <w:rsid w:val="00B66272"/>
    <w:rsid w:val="00B83233"/>
    <w:rsid w:val="00B85E78"/>
    <w:rsid w:val="00B86118"/>
    <w:rsid w:val="00B871CB"/>
    <w:rsid w:val="00B87537"/>
    <w:rsid w:val="00B904B7"/>
    <w:rsid w:val="00B90896"/>
    <w:rsid w:val="00B9663F"/>
    <w:rsid w:val="00BA44D6"/>
    <w:rsid w:val="00BB0030"/>
    <w:rsid w:val="00BB3D2E"/>
    <w:rsid w:val="00BB59EB"/>
    <w:rsid w:val="00BB7488"/>
    <w:rsid w:val="00BC2D02"/>
    <w:rsid w:val="00BC3138"/>
    <w:rsid w:val="00BC39DB"/>
    <w:rsid w:val="00BD158F"/>
    <w:rsid w:val="00BD33C5"/>
    <w:rsid w:val="00BD602C"/>
    <w:rsid w:val="00BD68EA"/>
    <w:rsid w:val="00BE3B15"/>
    <w:rsid w:val="00BE7765"/>
    <w:rsid w:val="00BE77CC"/>
    <w:rsid w:val="00BF092C"/>
    <w:rsid w:val="00C004FB"/>
    <w:rsid w:val="00C005A6"/>
    <w:rsid w:val="00C023AA"/>
    <w:rsid w:val="00C05369"/>
    <w:rsid w:val="00C063E3"/>
    <w:rsid w:val="00C07008"/>
    <w:rsid w:val="00C14E21"/>
    <w:rsid w:val="00C311D1"/>
    <w:rsid w:val="00C35137"/>
    <w:rsid w:val="00C40E00"/>
    <w:rsid w:val="00C45097"/>
    <w:rsid w:val="00C46C95"/>
    <w:rsid w:val="00C47426"/>
    <w:rsid w:val="00C576AD"/>
    <w:rsid w:val="00C62CD2"/>
    <w:rsid w:val="00C62EF0"/>
    <w:rsid w:val="00C63288"/>
    <w:rsid w:val="00C645BC"/>
    <w:rsid w:val="00C72ADD"/>
    <w:rsid w:val="00C7387A"/>
    <w:rsid w:val="00C742ED"/>
    <w:rsid w:val="00C74CA6"/>
    <w:rsid w:val="00C95F45"/>
    <w:rsid w:val="00C97BEC"/>
    <w:rsid w:val="00CA2849"/>
    <w:rsid w:val="00CA3813"/>
    <w:rsid w:val="00CA451B"/>
    <w:rsid w:val="00CB6F0F"/>
    <w:rsid w:val="00CD6DA7"/>
    <w:rsid w:val="00CE4026"/>
    <w:rsid w:val="00CE6F8C"/>
    <w:rsid w:val="00CF05A4"/>
    <w:rsid w:val="00D011C3"/>
    <w:rsid w:val="00D037A6"/>
    <w:rsid w:val="00D07174"/>
    <w:rsid w:val="00D159CB"/>
    <w:rsid w:val="00D16104"/>
    <w:rsid w:val="00D16578"/>
    <w:rsid w:val="00D23A8C"/>
    <w:rsid w:val="00D345C8"/>
    <w:rsid w:val="00D349E9"/>
    <w:rsid w:val="00D36361"/>
    <w:rsid w:val="00D37CDD"/>
    <w:rsid w:val="00D40633"/>
    <w:rsid w:val="00D40883"/>
    <w:rsid w:val="00D42A49"/>
    <w:rsid w:val="00D47EC7"/>
    <w:rsid w:val="00D5159F"/>
    <w:rsid w:val="00D53F31"/>
    <w:rsid w:val="00D624F7"/>
    <w:rsid w:val="00D62EA6"/>
    <w:rsid w:val="00D66C21"/>
    <w:rsid w:val="00D70D36"/>
    <w:rsid w:val="00D7201E"/>
    <w:rsid w:val="00D80884"/>
    <w:rsid w:val="00D81E41"/>
    <w:rsid w:val="00D81F67"/>
    <w:rsid w:val="00D843C4"/>
    <w:rsid w:val="00D91330"/>
    <w:rsid w:val="00D91E6A"/>
    <w:rsid w:val="00D92DDC"/>
    <w:rsid w:val="00D94CC2"/>
    <w:rsid w:val="00DA381F"/>
    <w:rsid w:val="00DB13A6"/>
    <w:rsid w:val="00DD5D3C"/>
    <w:rsid w:val="00DF1A16"/>
    <w:rsid w:val="00DF644A"/>
    <w:rsid w:val="00E0042F"/>
    <w:rsid w:val="00E040FC"/>
    <w:rsid w:val="00E126F5"/>
    <w:rsid w:val="00E14E0E"/>
    <w:rsid w:val="00E20305"/>
    <w:rsid w:val="00E20A6E"/>
    <w:rsid w:val="00E37FC7"/>
    <w:rsid w:val="00E41E43"/>
    <w:rsid w:val="00E55463"/>
    <w:rsid w:val="00E62A74"/>
    <w:rsid w:val="00E6445B"/>
    <w:rsid w:val="00E66923"/>
    <w:rsid w:val="00E70013"/>
    <w:rsid w:val="00E704EE"/>
    <w:rsid w:val="00E71772"/>
    <w:rsid w:val="00E738E2"/>
    <w:rsid w:val="00E7500C"/>
    <w:rsid w:val="00E8003F"/>
    <w:rsid w:val="00E82F56"/>
    <w:rsid w:val="00E87EDF"/>
    <w:rsid w:val="00E940C8"/>
    <w:rsid w:val="00E94F04"/>
    <w:rsid w:val="00E94F21"/>
    <w:rsid w:val="00E95D56"/>
    <w:rsid w:val="00E96731"/>
    <w:rsid w:val="00EB77CA"/>
    <w:rsid w:val="00EC2199"/>
    <w:rsid w:val="00EC4EF7"/>
    <w:rsid w:val="00ED5D6E"/>
    <w:rsid w:val="00EE0133"/>
    <w:rsid w:val="00EE0493"/>
    <w:rsid w:val="00EF3EC6"/>
    <w:rsid w:val="00F00F3E"/>
    <w:rsid w:val="00F0151C"/>
    <w:rsid w:val="00F016F1"/>
    <w:rsid w:val="00F02AC1"/>
    <w:rsid w:val="00F13251"/>
    <w:rsid w:val="00F13431"/>
    <w:rsid w:val="00F23909"/>
    <w:rsid w:val="00F36EE2"/>
    <w:rsid w:val="00F40734"/>
    <w:rsid w:val="00F45267"/>
    <w:rsid w:val="00F516B0"/>
    <w:rsid w:val="00F5208E"/>
    <w:rsid w:val="00F56E1F"/>
    <w:rsid w:val="00F57B18"/>
    <w:rsid w:val="00F606A6"/>
    <w:rsid w:val="00F60E5B"/>
    <w:rsid w:val="00F61439"/>
    <w:rsid w:val="00F64F54"/>
    <w:rsid w:val="00F65812"/>
    <w:rsid w:val="00F67CA6"/>
    <w:rsid w:val="00F75538"/>
    <w:rsid w:val="00F80F62"/>
    <w:rsid w:val="00F91710"/>
    <w:rsid w:val="00F93CD3"/>
    <w:rsid w:val="00F95C8E"/>
    <w:rsid w:val="00F97AE4"/>
    <w:rsid w:val="00FA10B5"/>
    <w:rsid w:val="00FB2008"/>
    <w:rsid w:val="00FB7481"/>
    <w:rsid w:val="00FC056C"/>
    <w:rsid w:val="00FC60A5"/>
    <w:rsid w:val="00FD2836"/>
    <w:rsid w:val="00FD30F0"/>
    <w:rsid w:val="00FE0D42"/>
    <w:rsid w:val="00FE44F4"/>
    <w:rsid w:val="00FF7CAC"/>
    <w:rsid w:val="02535ADD"/>
    <w:rsid w:val="050227BF"/>
    <w:rsid w:val="05954FBD"/>
    <w:rsid w:val="061140A8"/>
    <w:rsid w:val="09083289"/>
    <w:rsid w:val="11500630"/>
    <w:rsid w:val="13C40262"/>
    <w:rsid w:val="1C220725"/>
    <w:rsid w:val="1F353BA1"/>
    <w:rsid w:val="1FF67EA2"/>
    <w:rsid w:val="209F3AB7"/>
    <w:rsid w:val="216E4DF7"/>
    <w:rsid w:val="242B6EB4"/>
    <w:rsid w:val="261B59D1"/>
    <w:rsid w:val="28295311"/>
    <w:rsid w:val="368925C5"/>
    <w:rsid w:val="3B607426"/>
    <w:rsid w:val="3CD568AA"/>
    <w:rsid w:val="3E23030F"/>
    <w:rsid w:val="3FAF2352"/>
    <w:rsid w:val="46DC77AA"/>
    <w:rsid w:val="48257035"/>
    <w:rsid w:val="49AC778F"/>
    <w:rsid w:val="4DA0707E"/>
    <w:rsid w:val="4EB52BC8"/>
    <w:rsid w:val="510833A7"/>
    <w:rsid w:val="5153010F"/>
    <w:rsid w:val="51824207"/>
    <w:rsid w:val="537E40AC"/>
    <w:rsid w:val="567E5045"/>
    <w:rsid w:val="5C3C2526"/>
    <w:rsid w:val="5D6A6D83"/>
    <w:rsid w:val="5D7F34A3"/>
    <w:rsid w:val="5D8F3885"/>
    <w:rsid w:val="5E7C6D54"/>
    <w:rsid w:val="60306D04"/>
    <w:rsid w:val="608F07C3"/>
    <w:rsid w:val="63CA3512"/>
    <w:rsid w:val="687C3880"/>
    <w:rsid w:val="6BA951FA"/>
    <w:rsid w:val="75EE3CA3"/>
    <w:rsid w:val="778C26D5"/>
    <w:rsid w:val="79B11F29"/>
    <w:rsid w:val="7B5F0758"/>
    <w:rsid w:val="7B675F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0"/>
    <w:pPr>
      <w:keepNext/>
      <w:keepLines/>
      <w:outlineLvl w:val="0"/>
    </w:pPr>
    <w:rPr>
      <w:b/>
      <w:bCs/>
      <w:kern w:val="44"/>
      <w:sz w:val="24"/>
      <w:szCs w:val="44"/>
    </w:rPr>
  </w:style>
  <w:style w:type="paragraph" w:styleId="3">
    <w:name w:val="heading 2"/>
    <w:basedOn w:val="1"/>
    <w:next w:val="1"/>
    <w:link w:val="30"/>
    <w:qFormat/>
    <w:uiPriority w:val="0"/>
    <w:pPr>
      <w:keepNext/>
      <w:keepLines/>
      <w:spacing w:before="260" w:after="260" w:line="416" w:lineRule="auto"/>
      <w:outlineLvl w:val="1"/>
    </w:pPr>
    <w:rPr>
      <w:rFonts w:ascii="Arial" w:hAnsi="Arial" w:eastAsia="黑体"/>
      <w:b/>
      <w:bCs/>
      <w:sz w:val="32"/>
      <w:szCs w:val="32"/>
    </w:rPr>
  </w:style>
  <w:style w:type="paragraph" w:styleId="4">
    <w:name w:val="heading 5"/>
    <w:basedOn w:val="1"/>
    <w:next w:val="1"/>
    <w:qFormat/>
    <w:uiPriority w:val="0"/>
    <w:pPr>
      <w:outlineLvl w:val="4"/>
    </w:pPr>
    <w:rPr>
      <w:b/>
      <w:sz w:val="24"/>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qFormat/>
    <w:uiPriority w:val="0"/>
    <w:pPr>
      <w:jc w:val="left"/>
    </w:pPr>
  </w:style>
  <w:style w:type="paragraph" w:styleId="6">
    <w:name w:val="Body Text Indent"/>
    <w:basedOn w:val="1"/>
    <w:link w:val="22"/>
    <w:qFormat/>
    <w:uiPriority w:val="0"/>
    <w:pPr>
      <w:widowControl/>
      <w:ind w:firstLine="560" w:firstLineChars="200"/>
      <w:jc w:val="left"/>
    </w:pPr>
    <w:rPr>
      <w:rFonts w:ascii="宋体" w:hAnsi="宋体"/>
      <w:color w:val="000000"/>
      <w:sz w:val="28"/>
      <w:szCs w:val="33"/>
    </w:rPr>
  </w:style>
  <w:style w:type="paragraph" w:styleId="7">
    <w:name w:val="Date"/>
    <w:basedOn w:val="1"/>
    <w:next w:val="1"/>
    <w:link w:val="23"/>
    <w:qFormat/>
    <w:uiPriority w:val="0"/>
    <w:pPr>
      <w:ind w:left="100" w:leftChars="2500"/>
    </w:pPr>
    <w:rPr>
      <w:sz w:val="24"/>
    </w:rPr>
  </w:style>
  <w:style w:type="paragraph" w:styleId="8">
    <w:name w:val="Body Text Indent 2"/>
    <w:basedOn w:val="1"/>
    <w:link w:val="27"/>
    <w:qFormat/>
    <w:uiPriority w:val="0"/>
    <w:pPr>
      <w:spacing w:after="120" w:line="480" w:lineRule="auto"/>
      <w:ind w:left="420" w:leftChars="200"/>
    </w:pPr>
  </w:style>
  <w:style w:type="paragraph" w:styleId="9">
    <w:name w:val="Balloon Text"/>
    <w:basedOn w:val="1"/>
    <w:link w:val="25"/>
    <w:qFormat/>
    <w:uiPriority w:val="0"/>
    <w:rPr>
      <w:sz w:val="18"/>
      <w:szCs w:val="18"/>
    </w:rPr>
  </w:style>
  <w:style w:type="paragraph" w:styleId="10">
    <w:name w:val="footer"/>
    <w:basedOn w:val="1"/>
    <w:link w:val="29"/>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Body Text Indent 3"/>
    <w:basedOn w:val="1"/>
    <w:link w:val="24"/>
    <w:qFormat/>
    <w:uiPriority w:val="0"/>
    <w:pPr>
      <w:spacing w:after="120"/>
      <w:ind w:left="420" w:leftChars="200"/>
    </w:pPr>
    <w:rPr>
      <w:sz w:val="16"/>
      <w:szCs w:val="16"/>
    </w:rPr>
  </w:style>
  <w:style w:type="paragraph" w:styleId="14">
    <w:name w:val="Title"/>
    <w:basedOn w:val="1"/>
    <w:next w:val="1"/>
    <w:link w:val="26"/>
    <w:qFormat/>
    <w:uiPriority w:val="0"/>
    <w:pPr>
      <w:spacing w:before="240" w:after="60"/>
      <w:jc w:val="center"/>
      <w:outlineLvl w:val="0"/>
    </w:pPr>
    <w:rPr>
      <w:rFonts w:ascii="Cambria" w:hAnsi="Cambria"/>
      <w:b/>
      <w:bCs/>
      <w:sz w:val="32"/>
      <w:szCs w:val="32"/>
    </w:rPr>
  </w:style>
  <w:style w:type="paragraph" w:styleId="15">
    <w:name w:val="annotation subject"/>
    <w:basedOn w:val="5"/>
    <w:next w:val="5"/>
    <w:semiHidden/>
    <w:qFormat/>
    <w:uiPriority w:val="0"/>
    <w:rPr>
      <w:b/>
      <w:bCs/>
    </w:rPr>
  </w:style>
  <w:style w:type="character" w:styleId="18">
    <w:name w:val="page number"/>
    <w:basedOn w:val="17"/>
    <w:qFormat/>
    <w:uiPriority w:val="0"/>
  </w:style>
  <w:style w:type="character" w:styleId="19">
    <w:name w:val="Hyperlink"/>
    <w:qFormat/>
    <w:uiPriority w:val="99"/>
    <w:rPr>
      <w:color w:val="0000FF"/>
      <w:u w:val="single"/>
    </w:rPr>
  </w:style>
  <w:style w:type="character" w:styleId="20">
    <w:name w:val="annotation reference"/>
    <w:qFormat/>
    <w:uiPriority w:val="0"/>
    <w:rPr>
      <w:sz w:val="21"/>
      <w:szCs w:val="21"/>
    </w:rPr>
  </w:style>
  <w:style w:type="character" w:customStyle="1" w:styleId="21">
    <w:name w:val="访问过的超链接"/>
    <w:qFormat/>
    <w:uiPriority w:val="0"/>
    <w:rPr>
      <w:color w:val="800080"/>
      <w:u w:val="single"/>
    </w:rPr>
  </w:style>
  <w:style w:type="character" w:customStyle="1" w:styleId="22">
    <w:name w:val="正文文本缩进 Char"/>
    <w:link w:val="6"/>
    <w:qFormat/>
    <w:uiPriority w:val="0"/>
    <w:rPr>
      <w:rFonts w:ascii="宋体" w:hAnsi="宋体"/>
      <w:color w:val="000000"/>
      <w:kern w:val="2"/>
      <w:sz w:val="28"/>
      <w:szCs w:val="33"/>
    </w:rPr>
  </w:style>
  <w:style w:type="character" w:customStyle="1" w:styleId="23">
    <w:name w:val="日期 Char"/>
    <w:link w:val="7"/>
    <w:qFormat/>
    <w:uiPriority w:val="0"/>
    <w:rPr>
      <w:kern w:val="2"/>
      <w:sz w:val="24"/>
      <w:szCs w:val="24"/>
    </w:rPr>
  </w:style>
  <w:style w:type="character" w:customStyle="1" w:styleId="24">
    <w:name w:val="正文文本缩进 3 Char"/>
    <w:link w:val="13"/>
    <w:qFormat/>
    <w:uiPriority w:val="0"/>
    <w:rPr>
      <w:kern w:val="2"/>
      <w:sz w:val="16"/>
      <w:szCs w:val="16"/>
    </w:rPr>
  </w:style>
  <w:style w:type="character" w:customStyle="1" w:styleId="25">
    <w:name w:val="批注框文本 Char"/>
    <w:link w:val="9"/>
    <w:qFormat/>
    <w:uiPriority w:val="0"/>
    <w:rPr>
      <w:kern w:val="2"/>
      <w:sz w:val="18"/>
      <w:szCs w:val="18"/>
    </w:rPr>
  </w:style>
  <w:style w:type="character" w:customStyle="1" w:styleId="26">
    <w:name w:val="标题 Char"/>
    <w:link w:val="14"/>
    <w:qFormat/>
    <w:uiPriority w:val="0"/>
    <w:rPr>
      <w:rFonts w:ascii="Cambria" w:hAnsi="Cambria" w:cs="Times New Roman"/>
      <w:b/>
      <w:bCs/>
      <w:kern w:val="2"/>
      <w:sz w:val="32"/>
      <w:szCs w:val="32"/>
    </w:rPr>
  </w:style>
  <w:style w:type="character" w:customStyle="1" w:styleId="27">
    <w:name w:val="正文文本缩进 2 Char"/>
    <w:link w:val="8"/>
    <w:qFormat/>
    <w:uiPriority w:val="0"/>
    <w:rPr>
      <w:kern w:val="2"/>
      <w:sz w:val="21"/>
      <w:szCs w:val="24"/>
    </w:rPr>
  </w:style>
  <w:style w:type="character" w:customStyle="1" w:styleId="28">
    <w:name w:val="标题 1 Char"/>
    <w:link w:val="2"/>
    <w:qFormat/>
    <w:uiPriority w:val="0"/>
    <w:rPr>
      <w:b/>
      <w:bCs/>
      <w:kern w:val="44"/>
      <w:sz w:val="24"/>
      <w:szCs w:val="44"/>
    </w:rPr>
  </w:style>
  <w:style w:type="character" w:customStyle="1" w:styleId="29">
    <w:name w:val="页脚 Char"/>
    <w:link w:val="10"/>
    <w:qFormat/>
    <w:uiPriority w:val="0"/>
    <w:rPr>
      <w:kern w:val="2"/>
      <w:sz w:val="18"/>
      <w:szCs w:val="18"/>
    </w:rPr>
  </w:style>
  <w:style w:type="character" w:customStyle="1" w:styleId="30">
    <w:name w:val="标题 2 Char"/>
    <w:link w:val="3"/>
    <w:qFormat/>
    <w:uiPriority w:val="0"/>
    <w:rPr>
      <w:rFonts w:ascii="Arial" w:hAnsi="Arial" w:eastAsia="黑体"/>
      <w:b/>
      <w:bCs/>
      <w:kern w:val="2"/>
      <w:sz w:val="32"/>
      <w:szCs w:val="32"/>
    </w:rPr>
  </w:style>
  <w:style w:type="paragraph" w:customStyle="1" w:styleId="31">
    <w:name w:val="TOC 2"/>
    <w:basedOn w:val="1"/>
    <w:next w:val="1"/>
    <w:unhideWhenUsed/>
    <w:qFormat/>
    <w:uiPriority w:val="39"/>
    <w:pPr>
      <w:widowControl/>
      <w:spacing w:after="100" w:line="276" w:lineRule="auto"/>
      <w:ind w:left="220"/>
      <w:jc w:val="left"/>
    </w:pPr>
    <w:rPr>
      <w:rFonts w:ascii="Calibri" w:hAnsi="Calibri"/>
      <w:kern w:val="0"/>
      <w:sz w:val="22"/>
      <w:szCs w:val="22"/>
    </w:rPr>
  </w:style>
  <w:style w:type="paragraph" w:customStyle="1" w:styleId="32">
    <w:name w:val="TOC 3"/>
    <w:basedOn w:val="1"/>
    <w:next w:val="1"/>
    <w:unhideWhenUsed/>
    <w:qFormat/>
    <w:uiPriority w:val="39"/>
    <w:pPr>
      <w:widowControl/>
      <w:spacing w:after="100" w:line="276" w:lineRule="auto"/>
      <w:ind w:left="440"/>
      <w:jc w:val="left"/>
    </w:pPr>
    <w:rPr>
      <w:rFonts w:ascii="Calibri" w:hAnsi="Calibri"/>
      <w:kern w:val="0"/>
      <w:sz w:val="22"/>
      <w:szCs w:val="22"/>
    </w:rPr>
  </w:style>
  <w:style w:type="paragraph" w:customStyle="1" w:styleId="33">
    <w:name w:val="TOC 1"/>
    <w:basedOn w:val="1"/>
    <w:next w:val="1"/>
    <w:unhideWhenUsed/>
    <w:qFormat/>
    <w:uiPriority w:val="39"/>
    <w:pPr>
      <w:widowControl/>
      <w:spacing w:after="100" w:line="276" w:lineRule="auto"/>
      <w:jc w:val="left"/>
    </w:pPr>
    <w:rPr>
      <w:rFonts w:ascii="Calibri" w:hAnsi="Calibri"/>
      <w:kern w:val="0"/>
      <w:sz w:val="22"/>
      <w:szCs w:val="22"/>
    </w:rPr>
  </w:style>
  <w:style w:type="paragraph" w:customStyle="1" w:styleId="34">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35">
    <w:name w:val="TOC 标题1"/>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36">
    <w:name w:val="修订1"/>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wmf"/><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4CA4F9-18E3-40C0-B668-7519440FBE21}">
  <ds:schemaRefs/>
</ds:datastoreItem>
</file>

<file path=docProps/app.xml><?xml version="1.0" encoding="utf-8"?>
<Properties xmlns="http://schemas.openxmlformats.org/officeDocument/2006/extended-properties" xmlns:vt="http://schemas.openxmlformats.org/officeDocument/2006/docPropsVTypes">
  <Template>附件1  公开文件模版</Template>
  <Company>fy</Company>
  <Pages>21</Pages>
  <Words>1975</Words>
  <Characters>11262</Characters>
  <Lines>93</Lines>
  <Paragraphs>26</Paragraphs>
  <TotalTime>5</TotalTime>
  <ScaleCrop>false</ScaleCrop>
  <LinksUpToDate>false</LinksUpToDate>
  <CharactersWithSpaces>13211</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2021-06-11T02:46:00Z</dcterms:created>
  <dc:creator>cqm</dc:creator>
  <cp:lastModifiedBy>小明</cp:lastModifiedBy>
  <dcterms:modified xsi:type="dcterms:W3CDTF">2021-06-28T05:29:58Z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C3815A8CFDC54C2CA0A4903CBC167BBB</vt:lpwstr>
  </property>
</Properties>
</file>